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426" w:tblpY="140"/>
        <w:tblW w:w="10314" w:type="dxa"/>
        <w:tblLook w:val="00A0" w:firstRow="1" w:lastRow="0" w:firstColumn="1" w:lastColumn="0" w:noHBand="0" w:noVBand="0"/>
      </w:tblPr>
      <w:tblGrid>
        <w:gridCol w:w="3544"/>
        <w:gridCol w:w="6770"/>
      </w:tblGrid>
      <w:tr w:rsidR="00EE0643" w:rsidRPr="00FC6E02" w14:paraId="6DA5FA24" w14:textId="77777777" w:rsidTr="00292393">
        <w:trPr>
          <w:trHeight w:val="1340"/>
        </w:trPr>
        <w:tc>
          <w:tcPr>
            <w:tcW w:w="3544" w:type="dxa"/>
          </w:tcPr>
          <w:p w14:paraId="62575863" w14:textId="1DAE7F89" w:rsidR="00EE0643" w:rsidRPr="003C575A" w:rsidRDefault="00117365" w:rsidP="00292393">
            <w:pPr>
              <w:rPr>
                <w:rFonts w:ascii="Arial" w:hAnsi="Arial" w:cs="Arial"/>
              </w:rPr>
            </w:pPr>
            <w:r w:rsidRPr="00117365">
              <w:rPr>
                <w:rFonts w:ascii="Arial" w:hAnsi="Arial" w:cs="Arial"/>
                <w:noProof/>
                <w:highlight w:val="yellow"/>
              </w:rPr>
              <w:t>PCC LOGO</w:t>
            </w:r>
          </w:p>
        </w:tc>
        <w:tc>
          <w:tcPr>
            <w:tcW w:w="6770" w:type="dxa"/>
            <w:vAlign w:val="center"/>
          </w:tcPr>
          <w:p w14:paraId="4BE6BB23" w14:textId="41B52DEE" w:rsidR="00EE0643" w:rsidRPr="00FF248D" w:rsidRDefault="00272CBC" w:rsidP="00292393">
            <w:pPr>
              <w:ind w:firstLine="19"/>
              <w:jc w:val="center"/>
              <w:rPr>
                <w:rFonts w:cs="Calibri"/>
              </w:rPr>
            </w:pPr>
            <w:r>
              <w:rPr>
                <w:rFonts w:cs="Calibri"/>
                <w:sz w:val="56"/>
                <w:szCs w:val="56"/>
              </w:rPr>
              <w:t>Subject Access Request</w:t>
            </w:r>
            <w:r w:rsidR="00EE0643" w:rsidRPr="002E3C56">
              <w:rPr>
                <w:rFonts w:cs="Calibri"/>
                <w:sz w:val="56"/>
                <w:szCs w:val="56"/>
              </w:rPr>
              <w:t xml:space="preserve"> Policy</w:t>
            </w:r>
          </w:p>
        </w:tc>
      </w:tr>
    </w:tbl>
    <w:p w14:paraId="137A1B69" w14:textId="77777777" w:rsidR="00EE0643" w:rsidRDefault="00EE0643" w:rsidP="00EE0643">
      <w:pPr>
        <w:pStyle w:val="Mainheading"/>
        <w:spacing w:after="0"/>
      </w:pPr>
      <w:r w:rsidRPr="00B34359">
        <w:t>Document Overview</w:t>
      </w:r>
    </w:p>
    <w:p w14:paraId="4E7A4703" w14:textId="77777777" w:rsidR="00EE0643" w:rsidRDefault="00EE0643" w:rsidP="00EE0643">
      <w:pPr>
        <w:pStyle w:val="Paragraph"/>
        <w:numPr>
          <w:ilvl w:val="0"/>
          <w:numId w:val="0"/>
        </w:numPr>
        <w:spacing w:before="0"/>
        <w:ind w:left="792"/>
      </w:pPr>
    </w:p>
    <w:tbl>
      <w:tblPr>
        <w:tblpPr w:leftFromText="180" w:rightFromText="180" w:vertAnchor="text" w:horzAnchor="margin" w:tblpY="5"/>
        <w:tblW w:w="0" w:type="auto"/>
        <w:tblBorders>
          <w:top w:val="single" w:sz="8" w:space="0" w:color="000000"/>
          <w:bottom w:val="single" w:sz="8" w:space="0" w:color="000000"/>
        </w:tblBorders>
        <w:tblLook w:val="0600" w:firstRow="0" w:lastRow="0" w:firstColumn="0" w:lastColumn="0" w:noHBand="1" w:noVBand="1"/>
      </w:tblPr>
      <w:tblGrid>
        <w:gridCol w:w="2570"/>
        <w:gridCol w:w="6456"/>
      </w:tblGrid>
      <w:tr w:rsidR="00EE0643" w:rsidRPr="00DB18B3" w14:paraId="61ECC36A" w14:textId="77777777" w:rsidTr="002A7CE6">
        <w:trPr>
          <w:trHeight w:val="271"/>
        </w:trPr>
        <w:tc>
          <w:tcPr>
            <w:tcW w:w="2802" w:type="dxa"/>
            <w:shd w:val="clear" w:color="auto" w:fill="D9D9D9"/>
          </w:tcPr>
          <w:p w14:paraId="44031CF3" w14:textId="77777777" w:rsidR="00EE0643" w:rsidRPr="00BF2EF4" w:rsidRDefault="00EE0643" w:rsidP="002A7CE6">
            <w:pPr>
              <w:spacing w:after="120"/>
              <w:jc w:val="right"/>
              <w:rPr>
                <w:rFonts w:cs="Calibri"/>
                <w:b/>
              </w:rPr>
            </w:pPr>
            <w:r w:rsidRPr="00BF2EF4">
              <w:rPr>
                <w:b/>
              </w:rPr>
              <w:t>Purpose</w:t>
            </w:r>
          </w:p>
        </w:tc>
        <w:tc>
          <w:tcPr>
            <w:tcW w:w="7619" w:type="dxa"/>
            <w:shd w:val="clear" w:color="auto" w:fill="D9D9D9"/>
          </w:tcPr>
          <w:p w14:paraId="467A6E78" w14:textId="5B9CBD75" w:rsidR="00EE0643" w:rsidRPr="00BF2EF4" w:rsidRDefault="00EE0643" w:rsidP="002A7CE6">
            <w:pPr>
              <w:spacing w:after="120"/>
              <w:rPr>
                <w:rFonts w:cs="Calibri"/>
              </w:rPr>
            </w:pPr>
            <w:r w:rsidRPr="00BF2EF4">
              <w:rPr>
                <w:rFonts w:cs="Calibri"/>
              </w:rPr>
              <w:t xml:space="preserve">The purpose of this </w:t>
            </w:r>
            <w:r>
              <w:rPr>
                <w:rFonts w:cs="Calibri"/>
              </w:rPr>
              <w:t xml:space="preserve">policy </w:t>
            </w:r>
            <w:r>
              <w:t xml:space="preserve">is </w:t>
            </w:r>
            <w:r w:rsidRPr="002E3C56">
              <w:rPr>
                <w:rFonts w:cs="Calibri"/>
              </w:rPr>
              <w:t xml:space="preserve">to ensure </w:t>
            </w:r>
            <w:r w:rsidR="00272CBC">
              <w:rPr>
                <w:rFonts w:cs="Calibri"/>
              </w:rPr>
              <w:t>employees understand the legislation surrounding making a subject access request and the process that they will need to follow</w:t>
            </w:r>
            <w:r w:rsidRPr="002E3C56">
              <w:rPr>
                <w:rFonts w:cs="Calibri"/>
              </w:rPr>
              <w:t>. This policy applies to all staff with a contract of employment.</w:t>
            </w:r>
          </w:p>
        </w:tc>
      </w:tr>
      <w:tr w:rsidR="00EE0643" w:rsidRPr="00DB18B3" w14:paraId="3E536713" w14:textId="77777777" w:rsidTr="002A7CE6">
        <w:tc>
          <w:tcPr>
            <w:tcW w:w="2802" w:type="dxa"/>
            <w:shd w:val="clear" w:color="auto" w:fill="auto"/>
          </w:tcPr>
          <w:p w14:paraId="5311A0D5" w14:textId="77777777" w:rsidR="00EE0643" w:rsidRPr="00BF2EF4" w:rsidRDefault="00EE0643" w:rsidP="002A7CE6">
            <w:pPr>
              <w:spacing w:after="120"/>
              <w:jc w:val="right"/>
              <w:rPr>
                <w:rFonts w:cs="Calibri"/>
                <w:b/>
              </w:rPr>
            </w:pPr>
            <w:r w:rsidRPr="00BF2EF4">
              <w:rPr>
                <w:rFonts w:cs="Calibri"/>
                <w:b/>
              </w:rPr>
              <w:t>Confidentiality</w:t>
            </w:r>
          </w:p>
        </w:tc>
        <w:tc>
          <w:tcPr>
            <w:tcW w:w="7619" w:type="dxa"/>
            <w:shd w:val="clear" w:color="auto" w:fill="auto"/>
          </w:tcPr>
          <w:p w14:paraId="6653F7B9" w14:textId="77777777" w:rsidR="00EE0643" w:rsidRPr="00BF2EF4" w:rsidRDefault="00EE0643" w:rsidP="002A7CE6">
            <w:pPr>
              <w:spacing w:after="120"/>
              <w:rPr>
                <w:rFonts w:cs="Calibri"/>
              </w:rPr>
            </w:pPr>
            <w:r w:rsidRPr="00BF2EF4">
              <w:rPr>
                <w:rFonts w:cs="Calibri"/>
              </w:rPr>
              <w:t>This document is not confidential.</w:t>
            </w:r>
          </w:p>
        </w:tc>
      </w:tr>
      <w:tr w:rsidR="00EE0643" w:rsidRPr="00DB18B3" w14:paraId="543BC58F" w14:textId="77777777" w:rsidTr="002A7CE6">
        <w:tc>
          <w:tcPr>
            <w:tcW w:w="2802" w:type="dxa"/>
            <w:shd w:val="clear" w:color="auto" w:fill="D9D9D9"/>
          </w:tcPr>
          <w:p w14:paraId="20A608D7" w14:textId="77777777" w:rsidR="00EE0643" w:rsidRPr="00BF2EF4" w:rsidRDefault="00EE0643" w:rsidP="002A7CE6">
            <w:pPr>
              <w:spacing w:after="120"/>
              <w:jc w:val="right"/>
              <w:rPr>
                <w:rFonts w:cs="Calibri"/>
                <w:b/>
              </w:rPr>
            </w:pPr>
            <w:r w:rsidRPr="00BF2EF4">
              <w:rPr>
                <w:rFonts w:cs="Calibri"/>
                <w:b/>
              </w:rPr>
              <w:t>Document owner</w:t>
            </w:r>
          </w:p>
        </w:tc>
        <w:tc>
          <w:tcPr>
            <w:tcW w:w="7619" w:type="dxa"/>
            <w:shd w:val="clear" w:color="auto" w:fill="D9D9D9"/>
          </w:tcPr>
          <w:p w14:paraId="1CADD7C8" w14:textId="4A5F5F72" w:rsidR="00EE0643" w:rsidRPr="00BF2EF4" w:rsidRDefault="00EE0643" w:rsidP="002A7CE6">
            <w:pPr>
              <w:spacing w:after="120"/>
              <w:rPr>
                <w:rFonts w:cs="Calibri"/>
              </w:rPr>
            </w:pPr>
          </w:p>
        </w:tc>
      </w:tr>
      <w:tr w:rsidR="00EE0643" w:rsidRPr="00DB18B3" w14:paraId="22AE1B02" w14:textId="77777777" w:rsidTr="002A7CE6">
        <w:tc>
          <w:tcPr>
            <w:tcW w:w="2802" w:type="dxa"/>
            <w:shd w:val="clear" w:color="auto" w:fill="auto"/>
          </w:tcPr>
          <w:p w14:paraId="1416D7BE" w14:textId="77777777" w:rsidR="00EE0643" w:rsidRPr="00BF2EF4" w:rsidRDefault="00EE0643" w:rsidP="002A7CE6">
            <w:pPr>
              <w:spacing w:after="120"/>
              <w:jc w:val="right"/>
              <w:rPr>
                <w:rFonts w:cs="Calibri"/>
                <w:b/>
              </w:rPr>
            </w:pPr>
            <w:r w:rsidRPr="00BF2EF4">
              <w:rPr>
                <w:rFonts w:cs="Calibri"/>
                <w:b/>
              </w:rPr>
              <w:t>Status note</w:t>
            </w:r>
          </w:p>
        </w:tc>
        <w:tc>
          <w:tcPr>
            <w:tcW w:w="7619" w:type="dxa"/>
            <w:shd w:val="clear" w:color="auto" w:fill="auto"/>
          </w:tcPr>
          <w:p w14:paraId="4B5F50DD" w14:textId="72CC6297" w:rsidR="00EE0643" w:rsidRPr="00BF2EF4" w:rsidRDefault="00117365" w:rsidP="002A7CE6">
            <w:pPr>
              <w:spacing w:after="120"/>
              <w:rPr>
                <w:rFonts w:cs="Calibri"/>
              </w:rPr>
            </w:pPr>
            <w:r>
              <w:rPr>
                <w:rFonts w:cs="Calibri"/>
              </w:rPr>
              <w:t>Draft/</w:t>
            </w:r>
            <w:r w:rsidR="00EE0643">
              <w:rPr>
                <w:rFonts w:cs="Calibri"/>
              </w:rPr>
              <w:t>Final</w:t>
            </w:r>
          </w:p>
        </w:tc>
      </w:tr>
      <w:tr w:rsidR="00EE0643" w:rsidRPr="00DB18B3" w14:paraId="6B6B5752" w14:textId="77777777" w:rsidTr="002A7CE6">
        <w:tc>
          <w:tcPr>
            <w:tcW w:w="2802" w:type="dxa"/>
            <w:shd w:val="clear" w:color="auto" w:fill="D9D9D9"/>
          </w:tcPr>
          <w:p w14:paraId="0C4EE4B6" w14:textId="77777777" w:rsidR="00EE0643" w:rsidRPr="00BF2EF4" w:rsidRDefault="00EE0643" w:rsidP="002A7CE6">
            <w:pPr>
              <w:spacing w:after="120"/>
              <w:jc w:val="right"/>
              <w:rPr>
                <w:rFonts w:cs="Calibri"/>
                <w:b/>
              </w:rPr>
            </w:pPr>
            <w:r w:rsidRPr="00BF2EF4">
              <w:rPr>
                <w:rFonts w:cs="Calibri"/>
                <w:b/>
              </w:rPr>
              <w:t>Distribution</w:t>
            </w:r>
          </w:p>
        </w:tc>
        <w:tc>
          <w:tcPr>
            <w:tcW w:w="7619" w:type="dxa"/>
            <w:shd w:val="clear" w:color="auto" w:fill="D9D9D9"/>
          </w:tcPr>
          <w:p w14:paraId="49A8CA72" w14:textId="28873AE1" w:rsidR="00EE0643" w:rsidRPr="00BF2EF4" w:rsidRDefault="00EE0643" w:rsidP="002A7CE6">
            <w:pPr>
              <w:spacing w:after="120"/>
              <w:rPr>
                <w:rFonts w:cs="Calibri"/>
              </w:rPr>
            </w:pPr>
            <w:r w:rsidRPr="00BF2EF4">
              <w:rPr>
                <w:rFonts w:cs="Calibri"/>
              </w:rPr>
              <w:t>All</w:t>
            </w:r>
            <w:r>
              <w:rPr>
                <w:rFonts w:cs="Calibri"/>
              </w:rPr>
              <w:t xml:space="preserve"> </w:t>
            </w:r>
            <w:r w:rsidR="00117365">
              <w:rPr>
                <w:rFonts w:cs="Calibri"/>
              </w:rPr>
              <w:t>PCC</w:t>
            </w:r>
            <w:r w:rsidRPr="00BF2EF4">
              <w:rPr>
                <w:rFonts w:cs="Calibri"/>
              </w:rPr>
              <w:t xml:space="preserve"> </w:t>
            </w:r>
            <w:r>
              <w:rPr>
                <w:rFonts w:cs="Calibri"/>
              </w:rPr>
              <w:t>staff.</w:t>
            </w:r>
          </w:p>
        </w:tc>
      </w:tr>
      <w:tr w:rsidR="00EE0643" w:rsidRPr="00DB18B3" w14:paraId="567BDA2A" w14:textId="77777777" w:rsidTr="002A7CE6">
        <w:tc>
          <w:tcPr>
            <w:tcW w:w="2802" w:type="dxa"/>
            <w:shd w:val="clear" w:color="auto" w:fill="auto"/>
          </w:tcPr>
          <w:p w14:paraId="1001D1D0" w14:textId="77777777" w:rsidR="00EE0643" w:rsidRPr="00BF2EF4" w:rsidRDefault="00EE0643" w:rsidP="002A7CE6">
            <w:pPr>
              <w:spacing w:after="120"/>
              <w:jc w:val="right"/>
              <w:rPr>
                <w:rFonts w:cs="Calibri"/>
                <w:b/>
              </w:rPr>
            </w:pPr>
            <w:r w:rsidRPr="00BF2EF4">
              <w:rPr>
                <w:rFonts w:cs="Calibri"/>
                <w:b/>
              </w:rPr>
              <w:t>Required action</w:t>
            </w:r>
          </w:p>
        </w:tc>
        <w:tc>
          <w:tcPr>
            <w:tcW w:w="7619" w:type="dxa"/>
            <w:shd w:val="clear" w:color="auto" w:fill="auto"/>
          </w:tcPr>
          <w:p w14:paraId="30DAD721" w14:textId="77777777" w:rsidR="00EE0643" w:rsidRPr="00BF2EF4" w:rsidRDefault="00EE0643" w:rsidP="002A7CE6">
            <w:pPr>
              <w:spacing w:after="120"/>
              <w:rPr>
                <w:rFonts w:cs="Calibri"/>
              </w:rPr>
            </w:pPr>
          </w:p>
        </w:tc>
      </w:tr>
      <w:tr w:rsidR="00EE0643" w:rsidRPr="00DB18B3" w14:paraId="56496B79" w14:textId="77777777" w:rsidTr="002A7CE6">
        <w:tc>
          <w:tcPr>
            <w:tcW w:w="2802" w:type="dxa"/>
            <w:shd w:val="clear" w:color="auto" w:fill="D9D9D9"/>
          </w:tcPr>
          <w:p w14:paraId="686D5A8B" w14:textId="77777777" w:rsidR="00EE0643" w:rsidRPr="00BF2EF4" w:rsidRDefault="00EE0643" w:rsidP="002A7CE6">
            <w:pPr>
              <w:spacing w:after="120"/>
              <w:jc w:val="right"/>
              <w:rPr>
                <w:rFonts w:cs="Calibri"/>
                <w:b/>
              </w:rPr>
            </w:pPr>
            <w:r w:rsidRPr="00BF2EF4">
              <w:rPr>
                <w:rFonts w:cs="Calibri"/>
                <w:b/>
              </w:rPr>
              <w:t>Proposed next step</w:t>
            </w:r>
          </w:p>
        </w:tc>
        <w:tc>
          <w:tcPr>
            <w:tcW w:w="7619" w:type="dxa"/>
            <w:shd w:val="clear" w:color="auto" w:fill="D9D9D9"/>
          </w:tcPr>
          <w:p w14:paraId="463765CE" w14:textId="77777777" w:rsidR="00EE0643" w:rsidRPr="00BF2EF4" w:rsidRDefault="00EE0643" w:rsidP="002A7CE6">
            <w:pPr>
              <w:spacing w:after="120"/>
              <w:rPr>
                <w:rFonts w:cs="Calibri"/>
              </w:rPr>
            </w:pPr>
          </w:p>
        </w:tc>
      </w:tr>
    </w:tbl>
    <w:p w14:paraId="59ACE06A" w14:textId="77777777" w:rsidR="00EE0643" w:rsidRDefault="00EE0643" w:rsidP="00EE0643">
      <w:pPr>
        <w:pStyle w:val="Mainheading"/>
        <w:spacing w:after="0"/>
      </w:pPr>
      <w:r>
        <w:t>Version History</w:t>
      </w:r>
    </w:p>
    <w:p w14:paraId="582A2C15" w14:textId="77777777" w:rsidR="00EE0643" w:rsidRDefault="00EE0643" w:rsidP="00EE0643">
      <w:pPr>
        <w:pStyle w:val="Paragraph"/>
        <w:numPr>
          <w:ilvl w:val="0"/>
          <w:numId w:val="0"/>
        </w:numPr>
        <w:spacing w:before="0"/>
        <w:ind w:left="792" w:hanging="432"/>
      </w:pPr>
    </w:p>
    <w:tbl>
      <w:tblPr>
        <w:tblpPr w:leftFromText="180" w:rightFromText="180" w:vertAnchor="text" w:horzAnchor="margin" w:tblpY="5"/>
        <w:tblW w:w="89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53"/>
        <w:gridCol w:w="1278"/>
        <w:gridCol w:w="6295"/>
      </w:tblGrid>
      <w:tr w:rsidR="00EE0643" w:rsidRPr="00DB18B3" w14:paraId="0BADEE00" w14:textId="77777777" w:rsidTr="00292393">
        <w:trPr>
          <w:trHeight w:val="271"/>
        </w:trPr>
        <w:tc>
          <w:tcPr>
            <w:tcW w:w="1353" w:type="dxa"/>
            <w:shd w:val="clear" w:color="auto" w:fill="auto"/>
          </w:tcPr>
          <w:p w14:paraId="64E9F8D8" w14:textId="77777777" w:rsidR="00EE0643" w:rsidRPr="00BF2EF4" w:rsidRDefault="00EE0643" w:rsidP="002A7CE6">
            <w:pPr>
              <w:spacing w:before="40" w:after="40"/>
              <w:jc w:val="center"/>
              <w:rPr>
                <w:rFonts w:cs="Calibri"/>
                <w:b/>
              </w:rPr>
            </w:pPr>
            <w:r w:rsidRPr="00BF2EF4">
              <w:rPr>
                <w:rFonts w:cs="Calibri"/>
                <w:b/>
              </w:rPr>
              <w:t>Version</w:t>
            </w:r>
          </w:p>
        </w:tc>
        <w:tc>
          <w:tcPr>
            <w:tcW w:w="1278" w:type="dxa"/>
            <w:shd w:val="clear" w:color="auto" w:fill="auto"/>
          </w:tcPr>
          <w:p w14:paraId="7EFC60CA" w14:textId="77777777" w:rsidR="00EE0643" w:rsidRPr="00BF2EF4" w:rsidRDefault="00EE0643" w:rsidP="002A7CE6">
            <w:pPr>
              <w:spacing w:before="40" w:after="40"/>
              <w:jc w:val="center"/>
              <w:rPr>
                <w:rFonts w:cs="Calibri"/>
                <w:b/>
              </w:rPr>
            </w:pPr>
            <w:r w:rsidRPr="00BF2EF4">
              <w:rPr>
                <w:rFonts w:cs="Calibri"/>
                <w:b/>
              </w:rPr>
              <w:t>Date</w:t>
            </w:r>
          </w:p>
        </w:tc>
        <w:tc>
          <w:tcPr>
            <w:tcW w:w="6295" w:type="dxa"/>
            <w:shd w:val="clear" w:color="auto" w:fill="auto"/>
          </w:tcPr>
          <w:p w14:paraId="331A1BEC" w14:textId="77777777" w:rsidR="00EE0643" w:rsidRPr="00BF2EF4" w:rsidRDefault="00EE0643" w:rsidP="002A7CE6">
            <w:pPr>
              <w:spacing w:before="40" w:after="40"/>
              <w:rPr>
                <w:rFonts w:cs="Calibri"/>
                <w:b/>
              </w:rPr>
            </w:pPr>
            <w:r w:rsidRPr="00BF2EF4">
              <w:rPr>
                <w:rFonts w:cs="Calibri"/>
                <w:b/>
              </w:rPr>
              <w:t>Status Note</w:t>
            </w:r>
          </w:p>
        </w:tc>
      </w:tr>
      <w:tr w:rsidR="00272CBC" w:rsidRPr="00DB18B3" w14:paraId="13D8E0AF" w14:textId="77777777" w:rsidTr="00292393">
        <w:tc>
          <w:tcPr>
            <w:tcW w:w="1353" w:type="dxa"/>
            <w:shd w:val="clear" w:color="auto" w:fill="auto"/>
          </w:tcPr>
          <w:p w14:paraId="2A90317F" w14:textId="113A846F" w:rsidR="00272CBC" w:rsidRPr="00BF2EF4" w:rsidRDefault="00272CBC" w:rsidP="00272CBC">
            <w:pPr>
              <w:spacing w:before="40" w:after="40"/>
              <w:jc w:val="center"/>
              <w:rPr>
                <w:rFonts w:cs="Calibri"/>
              </w:rPr>
            </w:pPr>
            <w:r>
              <w:rPr>
                <w:rFonts w:cs="Calibri"/>
              </w:rPr>
              <w:t>1.</w:t>
            </w:r>
            <w:r w:rsidR="008F11CE">
              <w:rPr>
                <w:rFonts w:cs="Calibri"/>
              </w:rPr>
              <w:t>0</w:t>
            </w:r>
          </w:p>
        </w:tc>
        <w:tc>
          <w:tcPr>
            <w:tcW w:w="1278" w:type="dxa"/>
            <w:shd w:val="clear" w:color="auto" w:fill="auto"/>
          </w:tcPr>
          <w:p w14:paraId="78C79127" w14:textId="77D67022" w:rsidR="00272CBC" w:rsidRPr="00BF2EF4" w:rsidRDefault="00117365" w:rsidP="00272CBC">
            <w:pPr>
              <w:spacing w:before="40" w:after="40"/>
              <w:jc w:val="center"/>
              <w:rPr>
                <w:rFonts w:cs="Calibri"/>
              </w:rPr>
            </w:pPr>
            <w:r>
              <w:rPr>
                <w:rFonts w:cs="Calibri"/>
              </w:rPr>
              <w:t>05.06.2023</w:t>
            </w:r>
          </w:p>
        </w:tc>
        <w:tc>
          <w:tcPr>
            <w:tcW w:w="6295" w:type="dxa"/>
            <w:shd w:val="clear" w:color="auto" w:fill="auto"/>
          </w:tcPr>
          <w:p w14:paraId="1B1871F7" w14:textId="4DAD0892" w:rsidR="00272CBC" w:rsidRPr="00BF2EF4" w:rsidRDefault="00117365" w:rsidP="00272CBC">
            <w:pPr>
              <w:spacing w:before="40" w:after="40"/>
              <w:rPr>
                <w:rFonts w:cs="Calibri"/>
              </w:rPr>
            </w:pPr>
            <w:r>
              <w:rPr>
                <w:rFonts w:cs="Calibri"/>
              </w:rPr>
              <w:t>HR Template</w:t>
            </w:r>
          </w:p>
        </w:tc>
      </w:tr>
      <w:tr w:rsidR="008F11CE" w:rsidRPr="00DB18B3" w14:paraId="7B1D982F" w14:textId="77777777" w:rsidTr="00117365">
        <w:trPr>
          <w:trHeight w:val="262"/>
        </w:trPr>
        <w:tc>
          <w:tcPr>
            <w:tcW w:w="1353" w:type="dxa"/>
            <w:shd w:val="clear" w:color="auto" w:fill="auto"/>
          </w:tcPr>
          <w:p w14:paraId="023045C9" w14:textId="4E970C8C" w:rsidR="008F11CE" w:rsidRPr="00BF2EF4" w:rsidRDefault="008F11CE" w:rsidP="008F11CE">
            <w:pPr>
              <w:spacing w:before="40" w:after="40"/>
              <w:jc w:val="center"/>
              <w:rPr>
                <w:rFonts w:cs="Calibri"/>
              </w:rPr>
            </w:pPr>
          </w:p>
        </w:tc>
        <w:tc>
          <w:tcPr>
            <w:tcW w:w="1278" w:type="dxa"/>
            <w:shd w:val="clear" w:color="auto" w:fill="auto"/>
          </w:tcPr>
          <w:p w14:paraId="10F1E9F1" w14:textId="001F5F48" w:rsidR="008F11CE" w:rsidRPr="00BF2EF4" w:rsidRDefault="008F11CE" w:rsidP="008F11CE">
            <w:pPr>
              <w:spacing w:before="40" w:after="40"/>
              <w:jc w:val="center"/>
              <w:rPr>
                <w:rFonts w:cs="Calibri"/>
              </w:rPr>
            </w:pPr>
          </w:p>
        </w:tc>
        <w:tc>
          <w:tcPr>
            <w:tcW w:w="6295" w:type="dxa"/>
            <w:shd w:val="clear" w:color="auto" w:fill="auto"/>
          </w:tcPr>
          <w:p w14:paraId="2BA885B1" w14:textId="1F439E5F" w:rsidR="008F11CE" w:rsidRPr="00BF2EF4" w:rsidRDefault="008F11CE" w:rsidP="008F11CE">
            <w:pPr>
              <w:spacing w:before="40" w:after="40"/>
              <w:rPr>
                <w:rFonts w:cs="Calibri"/>
              </w:rPr>
            </w:pPr>
          </w:p>
        </w:tc>
      </w:tr>
      <w:tr w:rsidR="008F11CE" w:rsidRPr="00DB18B3" w14:paraId="7B65AD1A" w14:textId="77777777" w:rsidTr="00292393">
        <w:tc>
          <w:tcPr>
            <w:tcW w:w="1353" w:type="dxa"/>
            <w:shd w:val="clear" w:color="auto" w:fill="auto"/>
          </w:tcPr>
          <w:p w14:paraId="39644ED1" w14:textId="77777777" w:rsidR="008F11CE" w:rsidRPr="00BF2EF4" w:rsidRDefault="008F11CE" w:rsidP="008F11CE">
            <w:pPr>
              <w:spacing w:before="40" w:after="40"/>
              <w:jc w:val="center"/>
              <w:rPr>
                <w:rFonts w:cs="Calibri"/>
              </w:rPr>
            </w:pPr>
          </w:p>
        </w:tc>
        <w:tc>
          <w:tcPr>
            <w:tcW w:w="1278" w:type="dxa"/>
            <w:shd w:val="clear" w:color="auto" w:fill="auto"/>
          </w:tcPr>
          <w:p w14:paraId="5830789F" w14:textId="77777777" w:rsidR="008F11CE" w:rsidRPr="00BF2EF4" w:rsidRDefault="008F11CE" w:rsidP="008F11CE">
            <w:pPr>
              <w:spacing w:before="40" w:after="40"/>
              <w:jc w:val="center"/>
              <w:rPr>
                <w:rFonts w:cs="Calibri"/>
              </w:rPr>
            </w:pPr>
          </w:p>
        </w:tc>
        <w:tc>
          <w:tcPr>
            <w:tcW w:w="6295" w:type="dxa"/>
            <w:shd w:val="clear" w:color="auto" w:fill="auto"/>
          </w:tcPr>
          <w:p w14:paraId="56905DA7" w14:textId="77777777" w:rsidR="008F11CE" w:rsidRPr="00BF2EF4" w:rsidRDefault="008F11CE" w:rsidP="008F11CE">
            <w:pPr>
              <w:spacing w:before="40" w:after="40"/>
              <w:rPr>
                <w:rFonts w:cs="Calibri"/>
              </w:rPr>
            </w:pPr>
          </w:p>
        </w:tc>
      </w:tr>
      <w:tr w:rsidR="008F11CE" w:rsidRPr="00DB18B3" w14:paraId="017C357A" w14:textId="77777777" w:rsidTr="00292393">
        <w:tc>
          <w:tcPr>
            <w:tcW w:w="1353" w:type="dxa"/>
            <w:shd w:val="clear" w:color="auto" w:fill="auto"/>
          </w:tcPr>
          <w:p w14:paraId="06AEABB2" w14:textId="77777777" w:rsidR="008F11CE" w:rsidRPr="00BF2EF4" w:rsidRDefault="008F11CE" w:rsidP="008F11CE">
            <w:pPr>
              <w:spacing w:before="40" w:after="40"/>
              <w:jc w:val="center"/>
              <w:rPr>
                <w:rFonts w:cs="Calibri"/>
              </w:rPr>
            </w:pPr>
          </w:p>
        </w:tc>
        <w:tc>
          <w:tcPr>
            <w:tcW w:w="1278" w:type="dxa"/>
            <w:shd w:val="clear" w:color="auto" w:fill="auto"/>
          </w:tcPr>
          <w:p w14:paraId="75FD78D8" w14:textId="77777777" w:rsidR="008F11CE" w:rsidRPr="00BF2EF4" w:rsidRDefault="008F11CE" w:rsidP="008F11CE">
            <w:pPr>
              <w:spacing w:before="40" w:after="40"/>
              <w:jc w:val="center"/>
              <w:rPr>
                <w:rFonts w:cs="Calibri"/>
              </w:rPr>
            </w:pPr>
          </w:p>
        </w:tc>
        <w:tc>
          <w:tcPr>
            <w:tcW w:w="6295" w:type="dxa"/>
            <w:shd w:val="clear" w:color="auto" w:fill="auto"/>
          </w:tcPr>
          <w:p w14:paraId="1811E49E" w14:textId="77777777" w:rsidR="008F11CE" w:rsidRPr="00BF2EF4" w:rsidRDefault="008F11CE" w:rsidP="008F11CE">
            <w:pPr>
              <w:spacing w:before="40" w:after="40"/>
              <w:rPr>
                <w:rFonts w:cs="Calibri"/>
              </w:rPr>
            </w:pPr>
          </w:p>
        </w:tc>
      </w:tr>
      <w:tr w:rsidR="008F11CE" w:rsidRPr="00DB18B3" w14:paraId="12C190B7" w14:textId="77777777" w:rsidTr="00292393">
        <w:tc>
          <w:tcPr>
            <w:tcW w:w="1353" w:type="dxa"/>
            <w:shd w:val="clear" w:color="auto" w:fill="auto"/>
          </w:tcPr>
          <w:p w14:paraId="151C4604" w14:textId="77777777" w:rsidR="008F11CE" w:rsidRPr="00BF2EF4" w:rsidRDefault="008F11CE" w:rsidP="008F11CE">
            <w:pPr>
              <w:spacing w:before="40" w:after="40"/>
              <w:jc w:val="center"/>
              <w:rPr>
                <w:rFonts w:cs="Calibri"/>
              </w:rPr>
            </w:pPr>
          </w:p>
        </w:tc>
        <w:tc>
          <w:tcPr>
            <w:tcW w:w="1278" w:type="dxa"/>
            <w:shd w:val="clear" w:color="auto" w:fill="auto"/>
          </w:tcPr>
          <w:p w14:paraId="78B6BFDF" w14:textId="77777777" w:rsidR="008F11CE" w:rsidRPr="00BF2EF4" w:rsidRDefault="008F11CE" w:rsidP="008F11CE">
            <w:pPr>
              <w:spacing w:before="40" w:after="40"/>
              <w:jc w:val="center"/>
              <w:rPr>
                <w:rFonts w:cs="Calibri"/>
              </w:rPr>
            </w:pPr>
          </w:p>
        </w:tc>
        <w:tc>
          <w:tcPr>
            <w:tcW w:w="6295" w:type="dxa"/>
            <w:shd w:val="clear" w:color="auto" w:fill="auto"/>
          </w:tcPr>
          <w:p w14:paraId="15EBD11A" w14:textId="77777777" w:rsidR="008F11CE" w:rsidRPr="00BF2EF4" w:rsidRDefault="008F11CE" w:rsidP="008F11CE">
            <w:pPr>
              <w:spacing w:before="40" w:after="40"/>
              <w:rPr>
                <w:rFonts w:cs="Calibri"/>
              </w:rPr>
            </w:pPr>
          </w:p>
        </w:tc>
      </w:tr>
      <w:tr w:rsidR="008F11CE" w:rsidRPr="00DB18B3" w14:paraId="5B2DBD81" w14:textId="77777777" w:rsidTr="00292393">
        <w:tc>
          <w:tcPr>
            <w:tcW w:w="1353" w:type="dxa"/>
            <w:shd w:val="clear" w:color="auto" w:fill="auto"/>
          </w:tcPr>
          <w:p w14:paraId="26D96DC9" w14:textId="77777777" w:rsidR="008F11CE" w:rsidRPr="00BF2EF4" w:rsidRDefault="008F11CE" w:rsidP="008F11CE">
            <w:pPr>
              <w:spacing w:before="40" w:after="40"/>
              <w:jc w:val="center"/>
              <w:rPr>
                <w:rFonts w:cs="Calibri"/>
              </w:rPr>
            </w:pPr>
          </w:p>
        </w:tc>
        <w:tc>
          <w:tcPr>
            <w:tcW w:w="1278" w:type="dxa"/>
            <w:shd w:val="clear" w:color="auto" w:fill="auto"/>
          </w:tcPr>
          <w:p w14:paraId="7E557F6C" w14:textId="77777777" w:rsidR="008F11CE" w:rsidRPr="00BF2EF4" w:rsidRDefault="008F11CE" w:rsidP="008F11CE">
            <w:pPr>
              <w:spacing w:before="40" w:after="40"/>
              <w:jc w:val="center"/>
              <w:rPr>
                <w:rFonts w:cs="Calibri"/>
              </w:rPr>
            </w:pPr>
          </w:p>
        </w:tc>
        <w:tc>
          <w:tcPr>
            <w:tcW w:w="6295" w:type="dxa"/>
            <w:shd w:val="clear" w:color="auto" w:fill="auto"/>
          </w:tcPr>
          <w:p w14:paraId="31065669" w14:textId="77777777" w:rsidR="008F11CE" w:rsidRPr="00BF2EF4" w:rsidRDefault="008F11CE" w:rsidP="008F11CE">
            <w:pPr>
              <w:spacing w:before="40" w:after="40"/>
              <w:rPr>
                <w:rFonts w:cs="Calibri"/>
              </w:rPr>
            </w:pPr>
          </w:p>
        </w:tc>
      </w:tr>
    </w:tbl>
    <w:p w14:paraId="04CBE305" w14:textId="77777777" w:rsidR="00EE0643" w:rsidRDefault="00EE0643" w:rsidP="00EE0643">
      <w:pPr>
        <w:ind w:firstLine="19"/>
        <w:rPr>
          <w:rFonts w:cs="Calibri"/>
          <w:sz w:val="56"/>
          <w:szCs w:val="56"/>
        </w:rPr>
      </w:pPr>
    </w:p>
    <w:p w14:paraId="1CD0F289" w14:textId="77777777" w:rsidR="00EE0643" w:rsidRDefault="00EE0643" w:rsidP="00EE0643">
      <w:pPr>
        <w:ind w:firstLine="19"/>
        <w:rPr>
          <w:rFonts w:cs="Calibri"/>
          <w:sz w:val="56"/>
          <w:szCs w:val="56"/>
        </w:rPr>
      </w:pPr>
    </w:p>
    <w:p w14:paraId="16F542B2" w14:textId="77777777" w:rsidR="00EE0643" w:rsidRDefault="00EE0643" w:rsidP="00EE0643">
      <w:pPr>
        <w:ind w:firstLine="19"/>
        <w:rPr>
          <w:rFonts w:cs="Calibri"/>
          <w:sz w:val="56"/>
          <w:szCs w:val="56"/>
        </w:rPr>
      </w:pPr>
    </w:p>
    <w:p w14:paraId="5A0C60BB" w14:textId="77777777" w:rsidR="00EE0643" w:rsidRDefault="00EE0643" w:rsidP="00EE0643">
      <w:pPr>
        <w:ind w:firstLine="19"/>
        <w:rPr>
          <w:rFonts w:cs="Calibri"/>
          <w:sz w:val="56"/>
          <w:szCs w:val="56"/>
        </w:rPr>
      </w:pPr>
    </w:p>
    <w:p w14:paraId="05244D86" w14:textId="59BBC443" w:rsidR="00EE0643" w:rsidRPr="00A86655" w:rsidRDefault="00EE0643" w:rsidP="000D1587">
      <w:pPr>
        <w:spacing w:before="0"/>
      </w:pPr>
      <w:r>
        <w:rPr>
          <w:rFonts w:cs="Calibri"/>
          <w:sz w:val="56"/>
          <w:szCs w:val="56"/>
        </w:rPr>
        <w:br w:type="page"/>
      </w:r>
    </w:p>
    <w:p w14:paraId="5CBEB025" w14:textId="622468C9" w:rsidR="00EE0643" w:rsidRDefault="00272CBC" w:rsidP="00EE0643">
      <w:pPr>
        <w:pStyle w:val="Mainhead"/>
        <w:spacing w:before="240" w:after="240"/>
        <w:ind w:left="357" w:hanging="357"/>
      </w:pPr>
      <w:r>
        <w:lastRenderedPageBreak/>
        <w:t>Aims of this procedure</w:t>
      </w:r>
    </w:p>
    <w:p w14:paraId="184D0267" w14:textId="48C1CAE4" w:rsidR="00272CBC" w:rsidRPr="005D3864" w:rsidRDefault="00272CBC" w:rsidP="00BE4887">
      <w:pPr>
        <w:pStyle w:val="Paragraph"/>
        <w:ind w:left="709" w:hanging="425"/>
      </w:pPr>
      <w:r w:rsidRPr="005D3864">
        <w:t xml:space="preserve">The Information Commissioners Office Subject Access Code of Practice recommends that any organisations that hold personal data should use the code to help them understand their obligations to provide subject access to that data, and to help them follow good practice when dealing with subject access requests (SARs). The good practice advice in the code will help all organisations – whether they are in the public, private or third sector. Although the practices that organisations adopt to respond to SARs are likely to differ, depending on their size and the nature of the personal data they hold, the underlying principles concerning subject access are the same in every case.  </w:t>
      </w:r>
      <w:r w:rsidR="00117365" w:rsidRPr="00117365">
        <w:rPr>
          <w:highlight w:val="yellow"/>
        </w:rPr>
        <w:t>PCC NAME</w:t>
      </w:r>
      <w:r w:rsidRPr="005D3864">
        <w:t xml:space="preserve"> will respond to Subject Access Requests through following the Code of Practice guidance. </w:t>
      </w:r>
    </w:p>
    <w:p w14:paraId="5D61EA3B" w14:textId="77777777" w:rsidR="00272CBC" w:rsidRPr="005D3864" w:rsidRDefault="00272CBC" w:rsidP="00BE4887">
      <w:pPr>
        <w:pStyle w:val="Paragraph"/>
        <w:ind w:left="709" w:hanging="425"/>
      </w:pPr>
      <w:r w:rsidRPr="005D3864">
        <w:t xml:space="preserve">The Code of Practice can be accessed at:  </w:t>
      </w:r>
    </w:p>
    <w:p w14:paraId="1063B7D9" w14:textId="77777777" w:rsidR="00272CBC" w:rsidRPr="005D3864" w:rsidRDefault="005C4BE2" w:rsidP="00BF0028">
      <w:pPr>
        <w:spacing w:after="777" w:line="259" w:lineRule="auto"/>
        <w:ind w:left="709" w:right="26"/>
        <w:rPr>
          <w:rFonts w:cs="Calibri"/>
        </w:rPr>
      </w:pPr>
      <w:hyperlink r:id="rId10">
        <w:r w:rsidR="00272CBC" w:rsidRPr="005D3864">
          <w:rPr>
            <w:rFonts w:cs="Calibri"/>
            <w:color w:val="0000FF"/>
            <w:u w:val="single" w:color="0000FF"/>
          </w:rPr>
          <w:t>https://ico.org.uk/media/for</w:t>
        </w:r>
      </w:hyperlink>
      <w:hyperlink r:id="rId11">
        <w:r w:rsidR="00272CBC" w:rsidRPr="005D3864">
          <w:rPr>
            <w:rFonts w:cs="Calibri"/>
            <w:color w:val="0000FF"/>
            <w:u w:val="single" w:color="0000FF"/>
          </w:rPr>
          <w:t>-</w:t>
        </w:r>
      </w:hyperlink>
      <w:hyperlink r:id="rId12">
        <w:r w:rsidR="00272CBC" w:rsidRPr="005D3864">
          <w:rPr>
            <w:rFonts w:cs="Calibri"/>
            <w:color w:val="0000FF"/>
            <w:u w:val="single" w:color="0000FF"/>
          </w:rPr>
          <w:t>organisations/documents/2259722/subject</w:t>
        </w:r>
      </w:hyperlink>
      <w:hyperlink r:id="rId13">
        <w:r w:rsidR="00272CBC" w:rsidRPr="005D3864">
          <w:rPr>
            <w:rFonts w:cs="Calibri"/>
            <w:color w:val="0000FF"/>
            <w:u w:val="single" w:color="0000FF"/>
          </w:rPr>
          <w:t>-</w:t>
        </w:r>
      </w:hyperlink>
      <w:hyperlink r:id="rId14">
        <w:r w:rsidR="00272CBC" w:rsidRPr="005D3864">
          <w:rPr>
            <w:rFonts w:cs="Calibri"/>
            <w:color w:val="0000FF"/>
            <w:u w:val="single" w:color="0000FF"/>
          </w:rPr>
          <w:t>access</w:t>
        </w:r>
      </w:hyperlink>
      <w:hyperlink r:id="rId15">
        <w:r w:rsidR="00272CBC" w:rsidRPr="005D3864">
          <w:rPr>
            <w:rFonts w:cs="Calibri"/>
            <w:color w:val="0000FF"/>
            <w:u w:val="single" w:color="0000FF"/>
          </w:rPr>
          <w:t>-</w:t>
        </w:r>
      </w:hyperlink>
      <w:hyperlink r:id="rId16">
        <w:r w:rsidR="00272CBC" w:rsidRPr="005D3864">
          <w:rPr>
            <w:rFonts w:cs="Calibri"/>
            <w:color w:val="0000FF"/>
            <w:u w:val="single" w:color="0000FF"/>
          </w:rPr>
          <w:t>code</w:t>
        </w:r>
      </w:hyperlink>
      <w:hyperlink r:id="rId17">
        <w:r w:rsidR="00272CBC" w:rsidRPr="005D3864">
          <w:rPr>
            <w:rFonts w:cs="Calibri"/>
            <w:color w:val="0000FF"/>
            <w:u w:val="single" w:color="0000FF"/>
          </w:rPr>
          <w:t>-</w:t>
        </w:r>
      </w:hyperlink>
      <w:hyperlink r:id="rId18">
        <w:r w:rsidR="00272CBC" w:rsidRPr="005D3864">
          <w:rPr>
            <w:rFonts w:cs="Calibri"/>
            <w:color w:val="0000FF"/>
            <w:u w:val="single" w:color="0000FF"/>
          </w:rPr>
          <w:t>of</w:t>
        </w:r>
      </w:hyperlink>
      <w:hyperlink r:id="rId19">
        <w:r w:rsidR="00272CBC" w:rsidRPr="005D3864">
          <w:rPr>
            <w:rFonts w:cs="Calibri"/>
            <w:color w:val="0000FF"/>
            <w:u w:val="single" w:color="0000FF"/>
          </w:rPr>
          <w:t>-</w:t>
        </w:r>
      </w:hyperlink>
      <w:hyperlink r:id="rId20">
        <w:r w:rsidR="00272CBC" w:rsidRPr="005D3864">
          <w:rPr>
            <w:rFonts w:cs="Calibri"/>
            <w:color w:val="0000FF"/>
            <w:u w:val="single" w:color="0000FF"/>
          </w:rPr>
          <w:t>practice.pdf</w:t>
        </w:r>
      </w:hyperlink>
      <w:hyperlink r:id="rId21">
        <w:r w:rsidR="00272CBC" w:rsidRPr="005D3864">
          <w:rPr>
            <w:rFonts w:cs="Calibri"/>
          </w:rPr>
          <w:t xml:space="preserve"> </w:t>
        </w:r>
      </w:hyperlink>
      <w:r w:rsidR="00272CBC" w:rsidRPr="005D3864">
        <w:rPr>
          <w:rFonts w:cs="Calibri"/>
        </w:rPr>
        <w:t xml:space="preserve"> </w:t>
      </w:r>
    </w:p>
    <w:p w14:paraId="3DBC407A" w14:textId="1CA946D1" w:rsidR="00EE0643" w:rsidRDefault="00272CBC" w:rsidP="00EE0643">
      <w:pPr>
        <w:pStyle w:val="Mainhead"/>
        <w:spacing w:before="360" w:after="240"/>
        <w:ind w:left="357" w:hanging="357"/>
        <w:rPr>
          <w:lang w:val="en-US"/>
        </w:rPr>
      </w:pPr>
      <w:r>
        <w:rPr>
          <w:lang w:val="en-US"/>
        </w:rPr>
        <w:t>Data Protection Policy</w:t>
      </w:r>
    </w:p>
    <w:p w14:paraId="0138DE93" w14:textId="0516492B" w:rsidR="00272CBC" w:rsidRPr="005D3864" w:rsidRDefault="00117365" w:rsidP="00BE4887">
      <w:pPr>
        <w:pStyle w:val="Paragraph"/>
        <w:ind w:left="709" w:hanging="425"/>
      </w:pPr>
      <w:r w:rsidRPr="00117365">
        <w:rPr>
          <w:highlight w:val="yellow"/>
        </w:rPr>
        <w:t>PCC NAME</w:t>
      </w:r>
      <w:r w:rsidR="00272CBC" w:rsidRPr="005D3864">
        <w:t xml:space="preserve"> needs to keep certain personal information in a safe, responsible and secure manner to carry out its </w:t>
      </w:r>
      <w:proofErr w:type="gramStart"/>
      <w:r w:rsidR="00272CBC" w:rsidRPr="005D3864">
        <w:t>day to day</w:t>
      </w:r>
      <w:proofErr w:type="gramEnd"/>
      <w:r w:rsidR="00272CBC" w:rsidRPr="005D3864">
        <w:t xml:space="preserve"> operations, to meet its objectives and to comply with legal obligations. </w:t>
      </w:r>
    </w:p>
    <w:p w14:paraId="7DBF5C14" w14:textId="041A841A" w:rsidR="00272CBC" w:rsidRPr="005D3864" w:rsidRDefault="00272CBC" w:rsidP="00BE4887">
      <w:pPr>
        <w:pStyle w:val="Paragraph"/>
        <w:ind w:left="709" w:hanging="425"/>
      </w:pPr>
      <w:r w:rsidRPr="005D3864">
        <w:t xml:space="preserve">The organisation is committed to ensuring any personal data will be processed and stored in line with the </w:t>
      </w:r>
      <w:r>
        <w:t>UK GDPR and Data Protection Act 2018</w:t>
      </w:r>
      <w:r w:rsidRPr="005D3864">
        <w:t xml:space="preserve">. To comply with the law, personal information will be collected and used fairly, stored safely and not disclosed to any other person unlawfully.  </w:t>
      </w:r>
    </w:p>
    <w:p w14:paraId="313C71B0" w14:textId="2FED6984" w:rsidR="00272CBC" w:rsidRPr="005D3864" w:rsidRDefault="00272CBC" w:rsidP="00BE4887">
      <w:pPr>
        <w:pStyle w:val="Paragraph"/>
        <w:ind w:left="709" w:hanging="425"/>
      </w:pPr>
      <w:r w:rsidRPr="005D3864">
        <w:t xml:space="preserve">Please see the </w:t>
      </w:r>
      <w:r w:rsidR="00117365" w:rsidRPr="00117365">
        <w:rPr>
          <w:highlight w:val="yellow"/>
        </w:rPr>
        <w:t>PCC NAME</w:t>
      </w:r>
      <w:r w:rsidR="00117365" w:rsidRPr="005D3864">
        <w:t xml:space="preserve"> </w:t>
      </w:r>
      <w:r w:rsidRPr="005D3864">
        <w:t xml:space="preserve">Data Protection Policy for details that underpin this procedure. </w:t>
      </w:r>
    </w:p>
    <w:p w14:paraId="51CC1584" w14:textId="12D45F8E" w:rsidR="00EE0643" w:rsidRPr="006164E4" w:rsidRDefault="00BE4887" w:rsidP="00EE0643">
      <w:pPr>
        <w:pStyle w:val="Mainhead"/>
        <w:spacing w:before="360" w:after="240"/>
        <w:ind w:left="357" w:hanging="357"/>
        <w:rPr>
          <w:lang w:val="en-US"/>
        </w:rPr>
      </w:pPr>
      <w:r>
        <w:rPr>
          <w:lang w:val="en-US"/>
        </w:rPr>
        <w:t>Subject Access Requests</w:t>
      </w:r>
    </w:p>
    <w:p w14:paraId="1C31283F" w14:textId="77777777" w:rsidR="00BE4887" w:rsidRPr="005D3864" w:rsidRDefault="00BE4887" w:rsidP="00BE4887">
      <w:pPr>
        <w:pStyle w:val="Paragraph"/>
        <w:ind w:left="709" w:hanging="425"/>
      </w:pPr>
      <w:r w:rsidRPr="005D3864">
        <w:t xml:space="preserve">Under the General Data Protection Regulation 2016 (‘GDPR’) a person will have the right to ask an organisation to confirm whether or not it is processing any of their personal data. </w:t>
      </w:r>
    </w:p>
    <w:p w14:paraId="24E1C2D8" w14:textId="4B46A57D" w:rsidR="00BE4887" w:rsidRPr="005D3864" w:rsidRDefault="00BE4887" w:rsidP="00BE4887">
      <w:pPr>
        <w:pStyle w:val="Paragraph"/>
        <w:ind w:left="709" w:hanging="425"/>
      </w:pPr>
      <w:r w:rsidRPr="005D3864">
        <w:t xml:space="preserve"> Where that is the case they will have a right of access to that data, and to other supplementary information concerning their rights.  </w:t>
      </w:r>
    </w:p>
    <w:p w14:paraId="03FC96AA" w14:textId="704790BD" w:rsidR="00BE4887" w:rsidRPr="005D3864" w:rsidRDefault="00BE4887" w:rsidP="00BE4887">
      <w:pPr>
        <w:pStyle w:val="Paragraph"/>
        <w:ind w:left="709" w:hanging="425"/>
      </w:pPr>
      <w:r w:rsidRPr="005D3864">
        <w:t xml:space="preserve"> The supplementary information an organisation must provide includes the following:  </w:t>
      </w:r>
    </w:p>
    <w:p w14:paraId="0C2CA219" w14:textId="76463F57" w:rsidR="00BE4887" w:rsidRPr="005D3864" w:rsidRDefault="00BE4887" w:rsidP="00BE4887">
      <w:pPr>
        <w:pStyle w:val="SubParagraph"/>
        <w:ind w:left="1418" w:hanging="698"/>
      </w:pPr>
      <w:r w:rsidRPr="005D3864">
        <w:t xml:space="preserve">the purposes of </w:t>
      </w:r>
      <w:proofErr w:type="gramStart"/>
      <w:r w:rsidRPr="005D3864">
        <w:t>processing;</w:t>
      </w:r>
      <w:proofErr w:type="gramEnd"/>
      <w:r w:rsidRPr="005D3864">
        <w:t xml:space="preserve"> </w:t>
      </w:r>
    </w:p>
    <w:p w14:paraId="27533E40" w14:textId="2CE7D1B6" w:rsidR="00BE4887" w:rsidRPr="005D3864" w:rsidRDefault="00BE4887" w:rsidP="00BE4887">
      <w:pPr>
        <w:pStyle w:val="SubParagraph"/>
        <w:ind w:left="1418" w:hanging="698"/>
      </w:pPr>
      <w:r w:rsidRPr="005D3864">
        <w:t xml:space="preserve">the categories of data </w:t>
      </w:r>
      <w:proofErr w:type="gramStart"/>
      <w:r w:rsidRPr="005D3864">
        <w:t>processed;</w:t>
      </w:r>
      <w:proofErr w:type="gramEnd"/>
      <w:r w:rsidRPr="005D3864">
        <w:t xml:space="preserve"> </w:t>
      </w:r>
    </w:p>
    <w:p w14:paraId="3F87D453" w14:textId="31504E3E" w:rsidR="00BE4887" w:rsidRPr="005D3864" w:rsidRDefault="00BE4887" w:rsidP="00BE4887">
      <w:pPr>
        <w:pStyle w:val="SubParagraph"/>
        <w:ind w:left="1418" w:hanging="698"/>
      </w:pPr>
      <w:r w:rsidRPr="005D3864">
        <w:t xml:space="preserve">the recipients or categories of </w:t>
      </w:r>
      <w:proofErr w:type="gramStart"/>
      <w:r w:rsidRPr="005D3864">
        <w:t>recipients;</w:t>
      </w:r>
      <w:proofErr w:type="gramEnd"/>
      <w:r w:rsidRPr="005D3864">
        <w:t xml:space="preserve"> </w:t>
      </w:r>
    </w:p>
    <w:p w14:paraId="58E93B09" w14:textId="580ED96A" w:rsidR="00BE4887" w:rsidRPr="005D3864" w:rsidRDefault="00BE4887" w:rsidP="00BE4887">
      <w:pPr>
        <w:pStyle w:val="SubParagraph"/>
        <w:ind w:left="1418" w:hanging="698"/>
      </w:pPr>
      <w:r w:rsidRPr="005D3864">
        <w:t xml:space="preserve">the retention period or criteria used to determine this </w:t>
      </w:r>
      <w:proofErr w:type="gramStart"/>
      <w:r w:rsidRPr="005D3864">
        <w:t>period;</w:t>
      </w:r>
      <w:proofErr w:type="gramEnd"/>
      <w:r w:rsidRPr="005D3864">
        <w:t xml:space="preserve"> </w:t>
      </w:r>
    </w:p>
    <w:p w14:paraId="068A9BAB" w14:textId="17A2E708" w:rsidR="00BE4887" w:rsidRPr="005D3864" w:rsidRDefault="00BE4887" w:rsidP="00BE4887">
      <w:pPr>
        <w:pStyle w:val="SubParagraph"/>
        <w:ind w:left="1418" w:hanging="698"/>
      </w:pPr>
      <w:r w:rsidRPr="005D3864">
        <w:t>the individual’s rights under the GDPR (</w:t>
      </w:r>
      <w:proofErr w:type="gramStart"/>
      <w:r w:rsidRPr="005D3864">
        <w:t>e.g.</w:t>
      </w:r>
      <w:proofErr w:type="gramEnd"/>
      <w:r w:rsidRPr="005D3864">
        <w:t xml:space="preserve"> right to rectification or erasure, to restrict processing or object to processing and lodge a complaint with the supervising authority) </w:t>
      </w:r>
    </w:p>
    <w:p w14:paraId="0E82A8F8" w14:textId="72941C0C" w:rsidR="00BE4887" w:rsidRPr="005D3864" w:rsidRDefault="00BE4887" w:rsidP="00BE4887">
      <w:pPr>
        <w:pStyle w:val="SubParagraph"/>
        <w:ind w:left="1418" w:hanging="698"/>
      </w:pPr>
      <w:r w:rsidRPr="005D3864">
        <w:t xml:space="preserve">information regarding the source of the data (if not collected by the organisation); and </w:t>
      </w:r>
    </w:p>
    <w:p w14:paraId="4598EE43" w14:textId="1AF11D4B" w:rsidR="00BE4887" w:rsidRPr="005D3864" w:rsidRDefault="00BE4887" w:rsidP="00BE4887">
      <w:pPr>
        <w:pStyle w:val="SubParagraph"/>
        <w:ind w:left="1418" w:hanging="698"/>
      </w:pPr>
      <w:r w:rsidRPr="005D3864">
        <w:lastRenderedPageBreak/>
        <w:t xml:space="preserve">any automated decision taking undertaken.  </w:t>
      </w:r>
    </w:p>
    <w:p w14:paraId="16F954B6" w14:textId="048884D2" w:rsidR="00BE4887" w:rsidRPr="005D3864" w:rsidRDefault="00BE4887" w:rsidP="00BE4887">
      <w:pPr>
        <w:pStyle w:val="Paragraph"/>
        <w:ind w:left="709" w:hanging="425"/>
      </w:pPr>
      <w:r w:rsidRPr="005D3864">
        <w:t xml:space="preserve"> Individuals are allowed this access so that they are aware of and can verify the lawfulness of the processing of their personal data. </w:t>
      </w:r>
    </w:p>
    <w:p w14:paraId="763391D2" w14:textId="045C1DF8" w:rsidR="00BE4887" w:rsidRPr="005D3864" w:rsidRDefault="00BE4887" w:rsidP="00BE4887">
      <w:pPr>
        <w:pStyle w:val="Paragraph"/>
        <w:ind w:left="709" w:hanging="425"/>
      </w:pPr>
      <w:r w:rsidRPr="005D3864">
        <w:t xml:space="preserve"> Unless one of the exceptions applies (see sections 4 and 5) you must provide a copy of the personal data that you hold upon request.  </w:t>
      </w:r>
    </w:p>
    <w:p w14:paraId="336E1EF9" w14:textId="5CF676FA" w:rsidR="00BE4887" w:rsidRPr="005D3864" w:rsidRDefault="00BE4887" w:rsidP="00BE4887">
      <w:pPr>
        <w:pStyle w:val="Paragraph"/>
        <w:ind w:left="709" w:hanging="425"/>
      </w:pPr>
      <w:r w:rsidRPr="005D3864">
        <w:t xml:space="preserve"> Subject access is most often used by individuals who want to see a copy of the information an organisation holds about them.  However, subject access goes further than this and an individual is entitled to be: </w:t>
      </w:r>
    </w:p>
    <w:p w14:paraId="22A70FB3" w14:textId="77777777" w:rsidR="00BE4887" w:rsidRPr="005D3864" w:rsidRDefault="00BE4887" w:rsidP="00BE4887">
      <w:pPr>
        <w:pStyle w:val="SubParagraph"/>
        <w:ind w:left="1418" w:hanging="698"/>
      </w:pPr>
      <w:r w:rsidRPr="005D3864">
        <w:t xml:space="preserve">told whether any personal data is being </w:t>
      </w:r>
      <w:proofErr w:type="gramStart"/>
      <w:r w:rsidRPr="005D3864">
        <w:t>processed;</w:t>
      </w:r>
      <w:proofErr w:type="gramEnd"/>
      <w:r w:rsidRPr="005D3864">
        <w:t xml:space="preserve"> </w:t>
      </w:r>
    </w:p>
    <w:p w14:paraId="7E120650" w14:textId="77777777" w:rsidR="00BE4887" w:rsidRPr="005D3864" w:rsidRDefault="00BE4887" w:rsidP="00BE4887">
      <w:pPr>
        <w:pStyle w:val="SubParagraph"/>
        <w:ind w:left="1418" w:hanging="698"/>
      </w:pPr>
      <w:r w:rsidRPr="005D3864">
        <w:t xml:space="preserve">given a description of the personal data, the reasons it is being processed, and whether it will be given to any other organisations or </w:t>
      </w:r>
      <w:proofErr w:type="gramStart"/>
      <w:r w:rsidRPr="005D3864">
        <w:t>people;</w:t>
      </w:r>
      <w:proofErr w:type="gramEnd"/>
      <w:r w:rsidRPr="005D3864">
        <w:t xml:space="preserve"> </w:t>
      </w:r>
    </w:p>
    <w:p w14:paraId="1489256C" w14:textId="77777777" w:rsidR="00BE4887" w:rsidRPr="005D3864" w:rsidRDefault="00BE4887" w:rsidP="00BE4887">
      <w:pPr>
        <w:pStyle w:val="SubParagraph"/>
        <w:ind w:left="1418" w:hanging="698"/>
      </w:pPr>
      <w:r w:rsidRPr="005D3864">
        <w:t xml:space="preserve">given a copy of the personal data; and </w:t>
      </w:r>
    </w:p>
    <w:p w14:paraId="6C6D6B89" w14:textId="77777777" w:rsidR="00BE4887" w:rsidRPr="005D3864" w:rsidRDefault="00BE4887" w:rsidP="00BE4887">
      <w:pPr>
        <w:pStyle w:val="SubParagraph"/>
        <w:ind w:left="1418" w:hanging="698"/>
      </w:pPr>
      <w:r w:rsidRPr="005D3864">
        <w:t xml:space="preserve">given details of the source of the data (where this is available). </w:t>
      </w:r>
    </w:p>
    <w:p w14:paraId="796031FA" w14:textId="20ADCFA9" w:rsidR="00EE0643" w:rsidRPr="006164E4" w:rsidRDefault="00BE4887" w:rsidP="00EE0643">
      <w:pPr>
        <w:pStyle w:val="Mainhead"/>
        <w:spacing w:before="360" w:after="240"/>
        <w:ind w:left="357" w:hanging="357"/>
        <w:rPr>
          <w:lang w:val="en-US"/>
        </w:rPr>
      </w:pPr>
      <w:r>
        <w:rPr>
          <w:lang w:val="en-US"/>
        </w:rPr>
        <w:t>Responsibilities</w:t>
      </w:r>
    </w:p>
    <w:p w14:paraId="7FC2DFBD" w14:textId="636ED9BA" w:rsidR="00BE4887" w:rsidRDefault="00BE4887" w:rsidP="00BE4887">
      <w:pPr>
        <w:pStyle w:val="Paragraph"/>
        <w:ind w:left="709" w:hanging="425"/>
      </w:pPr>
      <w:r w:rsidRPr="005D3864">
        <w:t xml:space="preserve">Any person wishing to exercise this right should apply in writing to the Data Protection Officer, </w:t>
      </w:r>
      <w:r w:rsidR="00117365" w:rsidRPr="00117365">
        <w:rPr>
          <w:highlight w:val="yellow"/>
        </w:rPr>
        <w:t>[NAME]</w:t>
      </w:r>
      <w:r w:rsidRPr="005D3864">
        <w:t xml:space="preserve">, contactable at: </w:t>
      </w:r>
    </w:p>
    <w:p w14:paraId="55D8A0CE" w14:textId="77777777" w:rsidR="002040A3" w:rsidRPr="005D3864" w:rsidRDefault="002040A3" w:rsidP="002040A3">
      <w:pPr>
        <w:pStyle w:val="Paragraph"/>
        <w:numPr>
          <w:ilvl w:val="0"/>
          <w:numId w:val="0"/>
        </w:numPr>
        <w:ind w:left="709"/>
      </w:pPr>
    </w:p>
    <w:p w14:paraId="7D40989E" w14:textId="358DB7E8" w:rsidR="00BE4887" w:rsidRPr="00117365" w:rsidRDefault="00117365" w:rsidP="002040A3">
      <w:pPr>
        <w:pStyle w:val="NoSpacing"/>
        <w:ind w:left="709"/>
        <w:rPr>
          <w:highlight w:val="yellow"/>
        </w:rPr>
      </w:pPr>
      <w:r>
        <w:rPr>
          <w:highlight w:val="yellow"/>
        </w:rPr>
        <w:t xml:space="preserve">PARISH </w:t>
      </w:r>
      <w:r w:rsidRPr="00117365">
        <w:rPr>
          <w:highlight w:val="yellow"/>
        </w:rPr>
        <w:t>ADDRESS</w:t>
      </w:r>
    </w:p>
    <w:p w14:paraId="477617EE" w14:textId="3A394430" w:rsidR="00117365" w:rsidRPr="00117365" w:rsidRDefault="00117365" w:rsidP="002040A3">
      <w:pPr>
        <w:pStyle w:val="NoSpacing"/>
        <w:ind w:left="709"/>
        <w:rPr>
          <w:highlight w:val="yellow"/>
        </w:rPr>
      </w:pPr>
      <w:r w:rsidRPr="00117365">
        <w:rPr>
          <w:highlight w:val="yellow"/>
        </w:rPr>
        <w:t>PHONE NUMBER</w:t>
      </w:r>
    </w:p>
    <w:p w14:paraId="229F55D3" w14:textId="409D3AE9" w:rsidR="00117365" w:rsidRPr="005D3864" w:rsidRDefault="00117365" w:rsidP="002040A3">
      <w:pPr>
        <w:pStyle w:val="NoSpacing"/>
        <w:ind w:left="709"/>
      </w:pPr>
      <w:r w:rsidRPr="00117365">
        <w:rPr>
          <w:highlight w:val="yellow"/>
        </w:rPr>
        <w:t>EMAIL ADDRESS</w:t>
      </w:r>
    </w:p>
    <w:p w14:paraId="322BD1AC" w14:textId="3E0FBB87" w:rsidR="00BE4887" w:rsidRPr="005D3864" w:rsidRDefault="00BE4887" w:rsidP="00BE4887">
      <w:pPr>
        <w:pStyle w:val="Paragraph"/>
        <w:ind w:left="709" w:hanging="425"/>
      </w:pPr>
      <w:r w:rsidRPr="005D3864">
        <w:rPr>
          <w:rFonts w:eastAsia="Arial"/>
        </w:rPr>
        <w:t xml:space="preserve"> </w:t>
      </w:r>
      <w:r w:rsidRPr="005D3864">
        <w:t xml:space="preserve">Queries about handling personal information will be dealt with swiftly and politely.  We will aim to comply with requests for access to personal information </w:t>
      </w:r>
      <w:r w:rsidR="00117365" w:rsidRPr="005D3864">
        <w:t>as soon as possible but</w:t>
      </w:r>
      <w:r w:rsidRPr="005D3864">
        <w:t xml:space="preserve"> will ensure it is provided within the </w:t>
      </w:r>
      <w:proofErr w:type="gramStart"/>
      <w:r w:rsidRPr="005D3864">
        <w:t>one month</w:t>
      </w:r>
      <w:proofErr w:type="gramEnd"/>
      <w:r w:rsidRPr="005D3864">
        <w:t xml:space="preserve"> period required by the Act from receiving the written request.  </w:t>
      </w:r>
    </w:p>
    <w:p w14:paraId="56177917" w14:textId="44F18AB0" w:rsidR="00BE4887" w:rsidRPr="005D3864" w:rsidRDefault="00BE4887" w:rsidP="00BE4887">
      <w:pPr>
        <w:pStyle w:val="Paragraph"/>
        <w:ind w:left="709" w:hanging="425"/>
      </w:pPr>
      <w:r w:rsidRPr="005D3864">
        <w:rPr>
          <w:rFonts w:eastAsia="Arial"/>
        </w:rPr>
        <w:t xml:space="preserve"> </w:t>
      </w:r>
      <w:r w:rsidRPr="005D3864">
        <w:t xml:space="preserve">Where a large quantity of information about an individual is requested, the GDPR permits us to ask the individual to specify the information the request relates to. The one-month deadline to respond to the request does not begin to run until we have received the further information required to enable us to deal with the request. </w:t>
      </w:r>
    </w:p>
    <w:p w14:paraId="5D8D5DBE" w14:textId="01625F61" w:rsidR="00BE4887" w:rsidRPr="005D3864" w:rsidRDefault="00BE4887" w:rsidP="00BE4887">
      <w:pPr>
        <w:pStyle w:val="Paragraph"/>
        <w:ind w:left="709" w:hanging="425"/>
      </w:pPr>
      <w:r w:rsidRPr="005D3864">
        <w:rPr>
          <w:rFonts w:eastAsia="Arial"/>
        </w:rPr>
        <w:t xml:space="preserve"> </w:t>
      </w:r>
      <w:r w:rsidRPr="005D3864">
        <w:t xml:space="preserve">We will disclose all information that can be reasonably obtained unless there is a legal reason not to at the time of asking. </w:t>
      </w:r>
    </w:p>
    <w:p w14:paraId="356FA5FA" w14:textId="60399250" w:rsidR="00EE0643" w:rsidRDefault="002040A3" w:rsidP="00EE0643">
      <w:pPr>
        <w:pStyle w:val="Mainhead"/>
        <w:spacing w:before="360" w:after="240"/>
        <w:ind w:left="357" w:hanging="357"/>
        <w:rPr>
          <w:lang w:val="en-US"/>
        </w:rPr>
      </w:pPr>
      <w:r>
        <w:rPr>
          <w:lang w:val="en-US"/>
        </w:rPr>
        <w:t>Fees</w:t>
      </w:r>
    </w:p>
    <w:p w14:paraId="6F062FA4" w14:textId="77777777" w:rsidR="002040A3" w:rsidRPr="005D3864" w:rsidRDefault="002040A3" w:rsidP="002040A3">
      <w:pPr>
        <w:pStyle w:val="Paragraph"/>
        <w:ind w:left="709" w:hanging="425"/>
      </w:pPr>
      <w:r w:rsidRPr="005D3864">
        <w:t xml:space="preserve">We will provide a copy of the personal data free of charge, however, we are able to charge a reasonable fee when a request is ‘manifestly unfounded or excessive’, particularly if it is repetitive. </w:t>
      </w:r>
    </w:p>
    <w:p w14:paraId="5B5E947F" w14:textId="6A36C0E7" w:rsidR="002040A3" w:rsidRPr="005D3864" w:rsidRDefault="002040A3" w:rsidP="002040A3">
      <w:pPr>
        <w:pStyle w:val="Paragraph"/>
        <w:ind w:left="709" w:hanging="425"/>
      </w:pPr>
      <w:r w:rsidRPr="005D3864">
        <w:t xml:space="preserve">We may also charge a reasonable fee to comply with requests for further copies of the same information.  </w:t>
      </w:r>
    </w:p>
    <w:p w14:paraId="5673B7F5" w14:textId="579E2D25" w:rsidR="002040A3" w:rsidRDefault="002040A3" w:rsidP="002040A3">
      <w:pPr>
        <w:pStyle w:val="Paragraph"/>
        <w:ind w:left="709" w:hanging="425"/>
      </w:pPr>
      <w:r w:rsidRPr="005D3864">
        <w:t xml:space="preserve">The fee will be based on the administrative cost of providing the information. </w:t>
      </w:r>
    </w:p>
    <w:p w14:paraId="38D0A697" w14:textId="77777777" w:rsidR="00117365" w:rsidRPr="005D3864" w:rsidRDefault="00117365" w:rsidP="00117365">
      <w:pPr>
        <w:pStyle w:val="Paragraph"/>
        <w:numPr>
          <w:ilvl w:val="0"/>
          <w:numId w:val="0"/>
        </w:numPr>
        <w:ind w:left="709"/>
      </w:pPr>
    </w:p>
    <w:p w14:paraId="72D667CF" w14:textId="524766AD" w:rsidR="00EE0643" w:rsidRDefault="002040A3" w:rsidP="00EE0643">
      <w:pPr>
        <w:pStyle w:val="Mainhead"/>
        <w:spacing w:before="360" w:after="240"/>
        <w:ind w:left="357" w:hanging="357"/>
        <w:rPr>
          <w:lang w:val="en-US"/>
        </w:rPr>
      </w:pPr>
      <w:r>
        <w:rPr>
          <w:lang w:val="en-US"/>
        </w:rPr>
        <w:lastRenderedPageBreak/>
        <w:t>Procedure</w:t>
      </w:r>
    </w:p>
    <w:p w14:paraId="183ACA59" w14:textId="657ACAD7" w:rsidR="005975BF" w:rsidRPr="005975BF" w:rsidRDefault="005975BF" w:rsidP="005975BF">
      <w:pPr>
        <w:pStyle w:val="NoSpacing"/>
        <w:rPr>
          <w:b/>
          <w:bCs/>
          <w:sz w:val="24"/>
          <w:szCs w:val="24"/>
          <w:lang w:val="en-US"/>
        </w:rPr>
      </w:pPr>
      <w:r w:rsidRPr="005975BF">
        <w:rPr>
          <w:b/>
          <w:bCs/>
          <w:sz w:val="24"/>
          <w:szCs w:val="24"/>
          <w:lang w:val="en-US"/>
        </w:rPr>
        <w:t>The Process</w:t>
      </w:r>
    </w:p>
    <w:p w14:paraId="137E622C" w14:textId="77777777" w:rsidR="002040A3" w:rsidRPr="005D3864" w:rsidRDefault="002040A3" w:rsidP="002040A3">
      <w:pPr>
        <w:pStyle w:val="Paragraph"/>
        <w:ind w:left="709" w:hanging="425"/>
      </w:pPr>
      <w:r w:rsidRPr="005D3864">
        <w:t xml:space="preserve">The following information will be required before access is granted:  </w:t>
      </w:r>
    </w:p>
    <w:p w14:paraId="7288EE73" w14:textId="77777777" w:rsidR="002040A3" w:rsidRPr="005D3864" w:rsidRDefault="002040A3" w:rsidP="002040A3">
      <w:pPr>
        <w:pStyle w:val="SubParagraph"/>
        <w:ind w:left="1418" w:hanging="698"/>
      </w:pPr>
      <w:r w:rsidRPr="005D3864">
        <w:t xml:space="preserve">Information to judge whether the person making the request is the individual to whom the personal data relates. This is to avoid personal data about one individual being sent to another, accidentally or as a result of deception. We will not request further information if the identity of the person making the request is obvious. </w:t>
      </w:r>
    </w:p>
    <w:p w14:paraId="0A30A206" w14:textId="1BE9D9B4" w:rsidR="002040A3" w:rsidRDefault="002040A3" w:rsidP="002040A3">
      <w:pPr>
        <w:pStyle w:val="Paragraph"/>
        <w:ind w:left="709" w:hanging="425"/>
      </w:pPr>
      <w:r w:rsidRPr="005D3864">
        <w:t>We may also require proof of identity before access is granted. Th</w:t>
      </w:r>
      <w:r>
        <w:t xml:space="preserve">e following forms of ID will be </w:t>
      </w:r>
      <w:r w:rsidRPr="005D3864">
        <w:t xml:space="preserve">required: </w:t>
      </w:r>
    </w:p>
    <w:p w14:paraId="06C4778E" w14:textId="77777777" w:rsidR="002040A3" w:rsidRPr="005D3864" w:rsidRDefault="002040A3" w:rsidP="005975BF">
      <w:pPr>
        <w:pStyle w:val="SubParagraph"/>
        <w:ind w:left="1418" w:hanging="698"/>
      </w:pPr>
      <w:r w:rsidRPr="005D3864">
        <w:t>Photo ID (</w:t>
      </w:r>
      <w:proofErr w:type="gramStart"/>
      <w:r w:rsidRPr="005D3864">
        <w:t>i.e.</w:t>
      </w:r>
      <w:proofErr w:type="gramEnd"/>
      <w:r w:rsidRPr="005D3864">
        <w:t xml:space="preserve"> Driver Licence or Passport) </w:t>
      </w:r>
    </w:p>
    <w:p w14:paraId="3A2B3EFB" w14:textId="71C94ACC" w:rsidR="002040A3" w:rsidRPr="005D3864" w:rsidRDefault="002040A3" w:rsidP="005975BF">
      <w:pPr>
        <w:pStyle w:val="Paragraph"/>
        <w:ind w:left="709" w:hanging="425"/>
      </w:pPr>
      <w:r w:rsidRPr="005D3864">
        <w:t xml:space="preserve">If we require further information to verify their identity, then the one-month deadline does not begin to run until you have received the required information.  </w:t>
      </w:r>
    </w:p>
    <w:p w14:paraId="281BE619" w14:textId="53C1C9E1" w:rsidR="002040A3" w:rsidRPr="005D3864" w:rsidRDefault="002040A3" w:rsidP="005975BF">
      <w:pPr>
        <w:pStyle w:val="Paragraph"/>
        <w:ind w:left="709" w:hanging="425"/>
      </w:pPr>
      <w:r w:rsidRPr="005D3864">
        <w:rPr>
          <w:rFonts w:eastAsia="Arial"/>
        </w:rPr>
        <w:t xml:space="preserve"> </w:t>
      </w:r>
      <w:r w:rsidRPr="005D3864">
        <w:t xml:space="preserve">Before responding to a request, we may ask the requester for information we reasonably need to find the personal data covered by the request. We need not comply with the SAR until we have received it. </w:t>
      </w:r>
    </w:p>
    <w:p w14:paraId="5157086D" w14:textId="77777777" w:rsidR="002040A3" w:rsidRPr="005D3864" w:rsidRDefault="002040A3" w:rsidP="005975BF">
      <w:pPr>
        <w:pStyle w:val="Paragraph"/>
        <w:ind w:left="709" w:hanging="425"/>
      </w:pPr>
      <w:r w:rsidRPr="005D3864">
        <w:t xml:space="preserve">However, even if the relevant information is difficult to find and retrieve, it is not acceptable for us to delay responding to a request unless we reasonably require more information to help us find the data in question. </w:t>
      </w:r>
    </w:p>
    <w:p w14:paraId="12EB120B" w14:textId="5363E207" w:rsidR="002040A3" w:rsidRDefault="002040A3" w:rsidP="005975BF">
      <w:pPr>
        <w:pStyle w:val="Paragraph"/>
        <w:ind w:left="709" w:hanging="425"/>
      </w:pPr>
      <w:r w:rsidRPr="005D3864">
        <w:rPr>
          <w:rFonts w:eastAsia="Arial"/>
        </w:rPr>
        <w:t xml:space="preserve"> </w:t>
      </w:r>
      <w:r w:rsidRPr="005D3864">
        <w:t xml:space="preserve">We will acknowledge the request in writing with an explanatory letter of the process.  This letter may also be an explanation of a refusal to disclose if not a legitimate request. </w:t>
      </w:r>
    </w:p>
    <w:p w14:paraId="65F8847F" w14:textId="77777777" w:rsidR="005975BF" w:rsidRDefault="005975BF" w:rsidP="005975BF">
      <w:pPr>
        <w:spacing w:after="410"/>
        <w:ind w:left="-3"/>
        <w:rPr>
          <w:b/>
          <w:bCs/>
          <w:sz w:val="24"/>
          <w:szCs w:val="24"/>
          <w:lang w:val="en-US"/>
        </w:rPr>
      </w:pPr>
    </w:p>
    <w:p w14:paraId="36FA410E" w14:textId="0390D2ED" w:rsidR="005975BF" w:rsidRPr="005975BF" w:rsidRDefault="005975BF" w:rsidP="005975BF">
      <w:pPr>
        <w:spacing w:after="410"/>
        <w:ind w:left="-3"/>
        <w:rPr>
          <w:b/>
          <w:bCs/>
          <w:sz w:val="24"/>
          <w:szCs w:val="24"/>
          <w:lang w:val="en-US"/>
        </w:rPr>
      </w:pPr>
      <w:r w:rsidRPr="005975BF">
        <w:rPr>
          <w:b/>
          <w:bCs/>
          <w:sz w:val="24"/>
          <w:szCs w:val="24"/>
          <w:lang w:val="en-US"/>
        </w:rPr>
        <w:t xml:space="preserve">Gathering of information by Data Protection Officer (DPO):   </w:t>
      </w:r>
    </w:p>
    <w:p w14:paraId="06647138" w14:textId="57E2AF45" w:rsidR="005975BF" w:rsidRDefault="005975BF" w:rsidP="005975BF">
      <w:pPr>
        <w:pStyle w:val="Paragraph"/>
        <w:ind w:left="709" w:hanging="425"/>
      </w:pPr>
      <w:r w:rsidRPr="005D3864">
        <w:t xml:space="preserve">The DPO will decide which of the organisation’s officers will be required to gather all the required information relating to the request and will meet with these people to facilitate gathering this information.  (This process should avoid inadvertent and inappropriate sharing of information.) </w:t>
      </w:r>
    </w:p>
    <w:p w14:paraId="52ADB8A6" w14:textId="4047CEC8" w:rsidR="005975BF" w:rsidRPr="005975BF" w:rsidRDefault="005975BF" w:rsidP="005975BF">
      <w:pPr>
        <w:pStyle w:val="Mainhead"/>
        <w:numPr>
          <w:ilvl w:val="0"/>
          <w:numId w:val="0"/>
        </w:numPr>
        <w:ind w:left="360" w:hanging="360"/>
        <w:rPr>
          <w:rFonts w:cs="Times New Roman"/>
          <w:b/>
          <w:bCs/>
          <w:sz w:val="24"/>
          <w:szCs w:val="24"/>
          <w:lang w:val="en-US"/>
        </w:rPr>
      </w:pPr>
      <w:r>
        <w:rPr>
          <w:rFonts w:cs="Times New Roman"/>
          <w:b/>
          <w:bCs/>
          <w:sz w:val="24"/>
          <w:szCs w:val="24"/>
          <w:lang w:val="en-US"/>
        </w:rPr>
        <w:t>Screening of information</w:t>
      </w:r>
      <w:r w:rsidRPr="005975BF">
        <w:rPr>
          <w:rFonts w:cs="Times New Roman"/>
          <w:b/>
          <w:bCs/>
          <w:sz w:val="24"/>
          <w:szCs w:val="24"/>
          <w:lang w:val="en-US"/>
        </w:rPr>
        <w:t xml:space="preserve">:   </w:t>
      </w:r>
    </w:p>
    <w:p w14:paraId="2E6ACFAC" w14:textId="789C66BB" w:rsidR="005975BF" w:rsidRDefault="005975BF" w:rsidP="005975BF">
      <w:pPr>
        <w:pStyle w:val="Paragraph"/>
        <w:ind w:left="709" w:hanging="425"/>
      </w:pPr>
      <w:r w:rsidRPr="005975BF">
        <w:t>Screening of information should be carried out to check whether it is subject to any of the exemptions laid down under the Data Protection Agency, particularly whether it would compromise a third party’s right to privacy or an investigation under progress (however, the latter would arguably involve delayed disclosure than withholding of all information).  This will be carried by the DPO but with appropriate specialist advice.  There needs to be a robust audit trail of decisions taken.</w:t>
      </w:r>
    </w:p>
    <w:p w14:paraId="5B7F1A52" w14:textId="24B7C8C8" w:rsidR="005975BF" w:rsidRDefault="005975BF" w:rsidP="005975BF">
      <w:pPr>
        <w:pStyle w:val="Mainhead"/>
        <w:numPr>
          <w:ilvl w:val="0"/>
          <w:numId w:val="0"/>
        </w:numPr>
        <w:ind w:left="360" w:hanging="360"/>
        <w:rPr>
          <w:rFonts w:cs="Times New Roman"/>
          <w:b/>
          <w:bCs/>
          <w:sz w:val="24"/>
          <w:szCs w:val="24"/>
          <w:lang w:val="en-US"/>
        </w:rPr>
      </w:pPr>
      <w:r w:rsidRPr="005975BF">
        <w:rPr>
          <w:rFonts w:cs="Times New Roman"/>
          <w:b/>
          <w:bCs/>
          <w:sz w:val="24"/>
          <w:szCs w:val="24"/>
          <w:lang w:val="en-US"/>
        </w:rPr>
        <w:t>When we can Refuse to Respond to a Request:</w:t>
      </w:r>
    </w:p>
    <w:p w14:paraId="4A71C4C6" w14:textId="77777777" w:rsidR="005975BF" w:rsidRDefault="005975BF" w:rsidP="005975BF">
      <w:pPr>
        <w:pStyle w:val="Paragraph"/>
        <w:ind w:left="709" w:hanging="567"/>
        <w:rPr>
          <w:lang w:val="en-US"/>
        </w:rPr>
      </w:pPr>
      <w:r w:rsidRPr="005975BF">
        <w:rPr>
          <w:lang w:val="en-US"/>
        </w:rPr>
        <w:t xml:space="preserve">Where requests are manifestly unfounded or excessive, </w:t>
      </w:r>
      <w:proofErr w:type="gramStart"/>
      <w:r w:rsidRPr="005975BF">
        <w:rPr>
          <w:lang w:val="en-US"/>
        </w:rPr>
        <w:t>in particular because</w:t>
      </w:r>
      <w:proofErr w:type="gramEnd"/>
      <w:r w:rsidRPr="005975BF">
        <w:rPr>
          <w:lang w:val="en-US"/>
        </w:rPr>
        <w:t xml:space="preserve"> they are repetitive, we are able to charge a reasonable fee for providing the information OR refuse to respond.  </w:t>
      </w:r>
    </w:p>
    <w:p w14:paraId="399E56FB" w14:textId="4D4E286D" w:rsidR="005975BF" w:rsidRPr="005975BF" w:rsidRDefault="005975BF" w:rsidP="005975BF">
      <w:pPr>
        <w:pStyle w:val="Paragraph"/>
        <w:ind w:left="709" w:hanging="567"/>
        <w:rPr>
          <w:lang w:val="en-US"/>
        </w:rPr>
      </w:pPr>
      <w:r w:rsidRPr="005975BF">
        <w:rPr>
          <w:lang w:val="en-US"/>
        </w:rPr>
        <w:lastRenderedPageBreak/>
        <w:t>We can also refuse to respond to a request where one of the exemptions apply (see section 7 below for further details).</w:t>
      </w:r>
    </w:p>
    <w:p w14:paraId="1C689C5D" w14:textId="7443655D" w:rsidR="005975BF" w:rsidRDefault="005975BF" w:rsidP="005975BF">
      <w:pPr>
        <w:ind w:left="559" w:hanging="562"/>
        <w:rPr>
          <w:rFonts w:cs="Calibri"/>
        </w:rPr>
      </w:pPr>
    </w:p>
    <w:p w14:paraId="76966B98" w14:textId="20F75D0E" w:rsidR="005975BF" w:rsidRPr="007D7DFE" w:rsidRDefault="007D7DFE" w:rsidP="007D7DFE">
      <w:pPr>
        <w:pStyle w:val="Mainhead"/>
        <w:rPr>
          <w:lang w:val="en-US"/>
        </w:rPr>
      </w:pPr>
      <w:r w:rsidRPr="007D7DFE">
        <w:rPr>
          <w:lang w:val="en-US"/>
        </w:rPr>
        <w:t>Exemptions</w:t>
      </w:r>
      <w:r w:rsidR="005975BF" w:rsidRPr="007D7DFE">
        <w:rPr>
          <w:lang w:val="en-US"/>
        </w:rPr>
        <w:t>:</w:t>
      </w:r>
    </w:p>
    <w:p w14:paraId="2205518E" w14:textId="142182FE" w:rsidR="005975BF" w:rsidRPr="005D3864" w:rsidRDefault="005975BF" w:rsidP="007D7DFE">
      <w:pPr>
        <w:pStyle w:val="Paragraph"/>
        <w:ind w:left="709" w:hanging="567"/>
      </w:pPr>
      <w:r w:rsidRPr="005D3864">
        <w:t>Under the Dat</w:t>
      </w:r>
      <w:r w:rsidR="007D7DFE">
        <w:t>a</w:t>
      </w:r>
      <w:r w:rsidRPr="005D3864">
        <w:t xml:space="preserve"> Protection Act </w:t>
      </w:r>
      <w:proofErr w:type="gramStart"/>
      <w:r w:rsidRPr="005D3864">
        <w:t>2018  an</w:t>
      </w:r>
      <w:proofErr w:type="gramEnd"/>
      <w:r w:rsidRPr="005D3864">
        <w:t xml:space="preserve"> individual’s rights to access their data under the GDPR do not apply to: </w:t>
      </w:r>
    </w:p>
    <w:p w14:paraId="41167D44" w14:textId="72893B93" w:rsidR="005975BF" w:rsidRPr="005D3864" w:rsidRDefault="005975BF" w:rsidP="007D7DFE">
      <w:pPr>
        <w:pStyle w:val="SubParagraph"/>
        <w:ind w:left="1418" w:hanging="698"/>
      </w:pPr>
      <w:r w:rsidRPr="005D3864">
        <w:t xml:space="preserve">personal data which if disclosed could compromise national </w:t>
      </w:r>
      <w:proofErr w:type="gramStart"/>
      <w:r w:rsidRPr="005D3864">
        <w:t>security;</w:t>
      </w:r>
      <w:proofErr w:type="gramEnd"/>
      <w:r w:rsidRPr="005D3864">
        <w:t xml:space="preserve"> </w:t>
      </w:r>
    </w:p>
    <w:p w14:paraId="16D07AE3" w14:textId="15BF5989" w:rsidR="005975BF" w:rsidRPr="005D3864" w:rsidRDefault="005975BF" w:rsidP="007D7DFE">
      <w:pPr>
        <w:pStyle w:val="SubParagraph"/>
        <w:ind w:left="1418" w:hanging="698"/>
      </w:pPr>
      <w:r w:rsidRPr="005D3864">
        <w:t xml:space="preserve">information in respect of which a claim to legal professional privilege could be maintained in legal </w:t>
      </w:r>
      <w:proofErr w:type="gramStart"/>
      <w:r w:rsidRPr="005D3864">
        <w:t>proceedings;</w:t>
      </w:r>
      <w:proofErr w:type="gramEnd"/>
      <w:r w:rsidRPr="005D3864">
        <w:t xml:space="preserve">  </w:t>
      </w:r>
    </w:p>
    <w:p w14:paraId="5707207E" w14:textId="68DA9C3B" w:rsidR="005975BF" w:rsidRPr="005D3864" w:rsidRDefault="005975BF" w:rsidP="007D7DFE">
      <w:pPr>
        <w:pStyle w:val="SubParagraph"/>
        <w:ind w:left="1418" w:hanging="698"/>
      </w:pPr>
      <w:r w:rsidRPr="005D3864">
        <w:t xml:space="preserve">situations where complying with a request would lead to self-incrimination of an </w:t>
      </w:r>
      <w:proofErr w:type="gramStart"/>
      <w:r w:rsidRPr="005D3864">
        <w:t>offence;</w:t>
      </w:r>
      <w:proofErr w:type="gramEnd"/>
      <w:r w:rsidRPr="005D3864">
        <w:t xml:space="preserve"> </w:t>
      </w:r>
    </w:p>
    <w:p w14:paraId="47766D4C" w14:textId="25A87DDE" w:rsidR="005975BF" w:rsidRPr="005D3864" w:rsidRDefault="005975BF" w:rsidP="007D7DFE">
      <w:pPr>
        <w:pStyle w:val="SubParagraph"/>
        <w:ind w:left="1418" w:hanging="698"/>
      </w:pPr>
      <w:r w:rsidRPr="005D3864">
        <w:t xml:space="preserve">data that is processed under an act of parliament or by the government in order to secure the health and safety of persons at </w:t>
      </w:r>
      <w:proofErr w:type="gramStart"/>
      <w:r w:rsidRPr="005D3864">
        <w:t>work;</w:t>
      </w:r>
      <w:proofErr w:type="gramEnd"/>
      <w:r w:rsidRPr="005D3864">
        <w:t xml:space="preserve"> </w:t>
      </w:r>
    </w:p>
    <w:p w14:paraId="254BC930" w14:textId="4BF17FD8" w:rsidR="005975BF" w:rsidRPr="005D3864" w:rsidRDefault="005975BF" w:rsidP="007D7DFE">
      <w:pPr>
        <w:pStyle w:val="SubParagraph"/>
        <w:ind w:left="1418" w:hanging="698"/>
      </w:pPr>
      <w:r w:rsidRPr="005D3864">
        <w:t xml:space="preserve">confidential references given by the data controller in confidence for the purposes of an individual's education, training or employment, or the provision of a service by </w:t>
      </w:r>
      <w:proofErr w:type="gramStart"/>
      <w:r w:rsidRPr="005D3864">
        <w:t>them;</w:t>
      </w:r>
      <w:proofErr w:type="gramEnd"/>
      <w:r w:rsidRPr="005D3864">
        <w:t xml:space="preserve"> </w:t>
      </w:r>
    </w:p>
    <w:p w14:paraId="67720256" w14:textId="0AC26547" w:rsidR="005975BF" w:rsidRPr="005D3864" w:rsidRDefault="005975BF" w:rsidP="007D7DFE">
      <w:pPr>
        <w:pStyle w:val="SubParagraph"/>
        <w:ind w:left="1418" w:hanging="698"/>
      </w:pPr>
      <w:r w:rsidRPr="005D3864">
        <w:t xml:space="preserve">management information, </w:t>
      </w:r>
      <w:proofErr w:type="gramStart"/>
      <w:r w:rsidRPr="005D3864">
        <w:t>i.e.</w:t>
      </w:r>
      <w:proofErr w:type="gramEnd"/>
      <w:r w:rsidRPr="005D3864">
        <w:t xml:space="preserve"> personal data that is processed by the data controller for the purposes of management forecasting or management planning; </w:t>
      </w:r>
    </w:p>
    <w:p w14:paraId="1BD09D86" w14:textId="5EB4062B" w:rsidR="005975BF" w:rsidRPr="005D3864" w:rsidRDefault="005975BF" w:rsidP="007D7DFE">
      <w:pPr>
        <w:pStyle w:val="SubParagraph"/>
        <w:ind w:left="1418" w:hanging="698"/>
      </w:pPr>
      <w:r w:rsidRPr="005D3864">
        <w:t xml:space="preserve">records of any negotiations with the requester, to the extent that releasing the information would prejudice those negotiations; and </w:t>
      </w:r>
    </w:p>
    <w:p w14:paraId="2D37CFF5" w14:textId="3B5D945C" w:rsidR="005975BF" w:rsidRPr="005D3864" w:rsidRDefault="005975BF" w:rsidP="007D7DFE">
      <w:pPr>
        <w:pStyle w:val="SubParagraph"/>
        <w:ind w:left="1418" w:hanging="698"/>
      </w:pPr>
      <w:r w:rsidRPr="005D3864">
        <w:t xml:space="preserve">information that is available to the public. </w:t>
      </w:r>
    </w:p>
    <w:p w14:paraId="5131BF46" w14:textId="37015D00" w:rsidR="005975BF" w:rsidRPr="005D3864" w:rsidRDefault="005975BF" w:rsidP="007D7DFE">
      <w:pPr>
        <w:pStyle w:val="Paragraph"/>
        <w:ind w:left="709" w:hanging="567"/>
      </w:pPr>
      <w:r w:rsidRPr="005D3864">
        <w:t xml:space="preserve">There are also exemptions for specific categories of data, including: </w:t>
      </w:r>
    </w:p>
    <w:p w14:paraId="7C83AF07" w14:textId="0BA1D0B2" w:rsidR="005975BF" w:rsidRPr="005D3864" w:rsidRDefault="005975BF" w:rsidP="007D7DFE">
      <w:pPr>
        <w:pStyle w:val="SubParagraph"/>
        <w:ind w:left="1418" w:hanging="698"/>
      </w:pPr>
      <w:r w:rsidRPr="005D3864">
        <w:t xml:space="preserve">exemptions for reasons of freedom of expression and information – these are connected with journalism, literature and </w:t>
      </w:r>
      <w:proofErr w:type="gramStart"/>
      <w:r w:rsidRPr="005D3864">
        <w:t>art;</w:t>
      </w:r>
      <w:proofErr w:type="gramEnd"/>
      <w:r w:rsidRPr="005D3864">
        <w:t xml:space="preserve">  </w:t>
      </w:r>
    </w:p>
    <w:p w14:paraId="62DE8E23" w14:textId="1C59CDAE" w:rsidR="005975BF" w:rsidRPr="005D3864" w:rsidRDefault="005975BF" w:rsidP="007D7DFE">
      <w:pPr>
        <w:pStyle w:val="SubParagraph"/>
        <w:ind w:left="1418" w:hanging="698"/>
      </w:pPr>
      <w:r w:rsidRPr="005D3864">
        <w:t xml:space="preserve">data processed only for the purposes of research, </w:t>
      </w:r>
      <w:proofErr w:type="gramStart"/>
      <w:r w:rsidRPr="005D3864">
        <w:t>history</w:t>
      </w:r>
      <w:proofErr w:type="gramEnd"/>
      <w:r w:rsidRPr="005D3864">
        <w:t xml:space="preserve"> and statistics. We can provide additional guidance if you think this may apply; and </w:t>
      </w:r>
    </w:p>
    <w:p w14:paraId="0EFFB274" w14:textId="3FCE3165" w:rsidR="005975BF" w:rsidRPr="005D3864" w:rsidRDefault="005975BF" w:rsidP="007D7DFE">
      <w:pPr>
        <w:pStyle w:val="SubParagraph"/>
        <w:ind w:left="1418" w:hanging="698"/>
      </w:pPr>
      <w:r w:rsidRPr="005D3864">
        <w:t xml:space="preserve">information connected with a person’s health, </w:t>
      </w:r>
      <w:proofErr w:type="gramStart"/>
      <w:r w:rsidRPr="005D3864">
        <w:t>education</w:t>
      </w:r>
      <w:proofErr w:type="gramEnd"/>
      <w:r w:rsidRPr="005D3864">
        <w:t xml:space="preserve"> and social work records. </w:t>
      </w:r>
    </w:p>
    <w:p w14:paraId="026DC889" w14:textId="5A56983F" w:rsidR="005975BF" w:rsidRPr="005D3864" w:rsidRDefault="005975BF" w:rsidP="007D7DFE">
      <w:pPr>
        <w:pStyle w:val="Paragraph"/>
        <w:ind w:left="709" w:hanging="567"/>
      </w:pPr>
      <w:r w:rsidRPr="005D3864">
        <w:t xml:space="preserve">One of the main exemptions that organisations will be able to rely on is a restriction based on protecting the rights of others. You are not obliged to disclose information to the data subject to the extent that doing so would involve disclosing information relating to another individual who can be identified from the information. This exemption does not apply, however, where the other individual has </w:t>
      </w:r>
      <w:proofErr w:type="gramStart"/>
      <w:r w:rsidRPr="005D3864">
        <w:t>consented</w:t>
      </w:r>
      <w:proofErr w:type="gramEnd"/>
      <w:r w:rsidRPr="005D3864">
        <w:t xml:space="preserve"> or it is reasonable to disclose the information without the consent of the other individual. </w:t>
      </w:r>
    </w:p>
    <w:p w14:paraId="48B2F2AE" w14:textId="04D7B23B" w:rsidR="005975BF" w:rsidRPr="005D3864" w:rsidRDefault="005975BF" w:rsidP="007D7DFE">
      <w:pPr>
        <w:pStyle w:val="Paragraph"/>
        <w:ind w:left="709" w:hanging="567"/>
      </w:pPr>
      <w:r w:rsidRPr="005D3864">
        <w:t xml:space="preserve">In deciding whether it is reasonable to disclose the information without the consent of the other person you need to </w:t>
      </w:r>
      <w:proofErr w:type="gramStart"/>
      <w:r w:rsidRPr="005D3864">
        <w:t>take into account</w:t>
      </w:r>
      <w:proofErr w:type="gramEnd"/>
      <w:r w:rsidRPr="005D3864">
        <w:t xml:space="preserve">: </w:t>
      </w:r>
    </w:p>
    <w:p w14:paraId="1414DEEC" w14:textId="0C0C3677" w:rsidR="005975BF" w:rsidRPr="005D3864" w:rsidRDefault="005975BF" w:rsidP="007D7DFE">
      <w:pPr>
        <w:pStyle w:val="SubParagraph"/>
        <w:ind w:left="1418" w:hanging="698"/>
      </w:pPr>
      <w:r w:rsidRPr="005D3864">
        <w:t xml:space="preserve">the type of information that would be </w:t>
      </w:r>
      <w:proofErr w:type="gramStart"/>
      <w:r w:rsidRPr="005D3864">
        <w:t>disclosed;</w:t>
      </w:r>
      <w:proofErr w:type="gramEnd"/>
      <w:r w:rsidRPr="005D3864">
        <w:t xml:space="preserve"> </w:t>
      </w:r>
    </w:p>
    <w:p w14:paraId="7FB8C8D1" w14:textId="4B9225A8" w:rsidR="005975BF" w:rsidRPr="005D3864" w:rsidRDefault="005975BF" w:rsidP="007D7DFE">
      <w:pPr>
        <w:pStyle w:val="SubParagraph"/>
        <w:ind w:left="1418" w:hanging="698"/>
      </w:pPr>
      <w:r w:rsidRPr="005D3864">
        <w:t xml:space="preserve">any duty of confidentiality owed to the other </w:t>
      </w:r>
      <w:proofErr w:type="gramStart"/>
      <w:r w:rsidRPr="005D3864">
        <w:t>person;</w:t>
      </w:r>
      <w:proofErr w:type="gramEnd"/>
      <w:r w:rsidRPr="005D3864">
        <w:t xml:space="preserve"> </w:t>
      </w:r>
    </w:p>
    <w:p w14:paraId="6EFCE5E5" w14:textId="40BB813D" w:rsidR="005975BF" w:rsidRPr="005D3864" w:rsidRDefault="005975BF" w:rsidP="007D7DFE">
      <w:pPr>
        <w:pStyle w:val="SubParagraph"/>
        <w:ind w:left="1418" w:hanging="698"/>
      </w:pPr>
      <w:r w:rsidRPr="005D3864">
        <w:t xml:space="preserve">any steps you have taken to get the consent of the other </w:t>
      </w:r>
      <w:proofErr w:type="gramStart"/>
      <w:r w:rsidRPr="005D3864">
        <w:t>person;</w:t>
      </w:r>
      <w:proofErr w:type="gramEnd"/>
      <w:r w:rsidRPr="005D3864">
        <w:t xml:space="preserve"> </w:t>
      </w:r>
    </w:p>
    <w:p w14:paraId="770C78A6" w14:textId="7459C784" w:rsidR="005975BF" w:rsidRPr="005D3864" w:rsidRDefault="005975BF" w:rsidP="007D7DFE">
      <w:pPr>
        <w:pStyle w:val="SubParagraph"/>
        <w:ind w:left="1418" w:hanging="698"/>
      </w:pPr>
      <w:r w:rsidRPr="005D3864">
        <w:t xml:space="preserve">whether the other individual is capable of giving consent; and </w:t>
      </w:r>
    </w:p>
    <w:p w14:paraId="347D7F40" w14:textId="3348024C" w:rsidR="005975BF" w:rsidRPr="005D3864" w:rsidRDefault="005975BF" w:rsidP="007D7DFE">
      <w:pPr>
        <w:pStyle w:val="SubParagraph"/>
        <w:ind w:left="1418" w:hanging="698"/>
      </w:pPr>
      <w:r w:rsidRPr="005D3864">
        <w:t xml:space="preserve">any express refusal of the other person. </w:t>
      </w:r>
    </w:p>
    <w:p w14:paraId="4D879955" w14:textId="6F41BA6C" w:rsidR="005975BF" w:rsidRPr="005D3864" w:rsidRDefault="005975BF" w:rsidP="00D11AEA">
      <w:pPr>
        <w:pStyle w:val="Paragraph"/>
        <w:ind w:left="709" w:hanging="567"/>
      </w:pPr>
      <w:r w:rsidRPr="005D3864">
        <w:lastRenderedPageBreak/>
        <w:t xml:space="preserve">If challenged, the organisation must be prepared to defend their decision to apply an exemption to either the ICO or the court.  </w:t>
      </w:r>
      <w:proofErr w:type="gramStart"/>
      <w:r w:rsidRPr="005D3864">
        <w:t>Therefore</w:t>
      </w:r>
      <w:proofErr w:type="gramEnd"/>
      <w:r w:rsidRPr="005D3864">
        <w:t xml:space="preserve"> a decision to refuse the subject access request should be taken at a senior level and the reasons documented for the decision made. </w:t>
      </w:r>
    </w:p>
    <w:p w14:paraId="5F296C1D" w14:textId="77A94AD2" w:rsidR="00D11AEA" w:rsidRDefault="005975BF" w:rsidP="00D11AEA">
      <w:pPr>
        <w:pStyle w:val="Paragraph"/>
        <w:ind w:left="709" w:hanging="567"/>
      </w:pPr>
      <w:r w:rsidRPr="005D3864">
        <w:t xml:space="preserve">The overriding principle of protecting children and vulnerable adults must also be </w:t>
      </w:r>
      <w:proofErr w:type="gramStart"/>
      <w:r w:rsidRPr="005D3864">
        <w:t>taken into account</w:t>
      </w:r>
      <w:proofErr w:type="gramEnd"/>
      <w:r w:rsidRPr="005D3864">
        <w:t xml:space="preserve">.  </w:t>
      </w:r>
      <w:r w:rsidR="00D11AEA" w:rsidRPr="005D3864">
        <w:t xml:space="preserve">Advice must be taken by the Diocesan Safeguarding Advisor in such cases. </w:t>
      </w:r>
    </w:p>
    <w:p w14:paraId="34A84224" w14:textId="77777777" w:rsidR="00D11AEA" w:rsidRPr="005D3864" w:rsidRDefault="00D11AEA" w:rsidP="00D11AEA">
      <w:pPr>
        <w:pStyle w:val="Paragraph"/>
        <w:numPr>
          <w:ilvl w:val="0"/>
          <w:numId w:val="0"/>
        </w:numPr>
        <w:ind w:left="709"/>
      </w:pPr>
    </w:p>
    <w:p w14:paraId="2F08FC60" w14:textId="105ED871" w:rsidR="00EE0643" w:rsidRPr="00D11AEA" w:rsidRDefault="00D11AEA" w:rsidP="00D11AEA">
      <w:pPr>
        <w:pStyle w:val="Mainhead"/>
        <w:numPr>
          <w:ilvl w:val="0"/>
          <w:numId w:val="0"/>
        </w:numPr>
        <w:spacing w:before="360" w:after="240"/>
        <w:ind w:left="360" w:hanging="360"/>
        <w:rPr>
          <w:rFonts w:cs="Times New Roman"/>
          <w:b/>
          <w:bCs/>
          <w:sz w:val="24"/>
          <w:szCs w:val="24"/>
          <w:lang w:val="en-US"/>
        </w:rPr>
      </w:pPr>
      <w:r w:rsidRPr="00D11AEA">
        <w:rPr>
          <w:rFonts w:cs="Times New Roman"/>
          <w:b/>
          <w:bCs/>
          <w:sz w:val="24"/>
          <w:szCs w:val="24"/>
          <w:lang w:val="en-US"/>
        </w:rPr>
        <w:t xml:space="preserve">Review and signing off by a senior </w:t>
      </w:r>
      <w:proofErr w:type="gramStart"/>
      <w:r w:rsidRPr="00D11AEA">
        <w:rPr>
          <w:rFonts w:cs="Times New Roman"/>
          <w:b/>
          <w:bCs/>
          <w:sz w:val="24"/>
          <w:szCs w:val="24"/>
          <w:lang w:val="en-US"/>
        </w:rPr>
        <w:t>officer</w:t>
      </w:r>
      <w:proofErr w:type="gramEnd"/>
    </w:p>
    <w:p w14:paraId="3231CD2B" w14:textId="0F6F444F" w:rsidR="00EE0643" w:rsidRDefault="00D11AEA" w:rsidP="00D11AEA">
      <w:pPr>
        <w:pStyle w:val="Paragraph"/>
        <w:ind w:left="709" w:hanging="567"/>
      </w:pPr>
      <w:r w:rsidRPr="00D11AEA">
        <w:t xml:space="preserve">The </w:t>
      </w:r>
      <w:r w:rsidR="005C4BE2" w:rsidRPr="005C4BE2">
        <w:rPr>
          <w:highlight w:val="yellow"/>
        </w:rPr>
        <w:t>PCC/TRUSTEES/BOARD</w:t>
      </w:r>
      <w:r w:rsidR="005C4BE2">
        <w:t xml:space="preserve"> </w:t>
      </w:r>
      <w:r w:rsidRPr="00D11AEA">
        <w:t>will need to check decisions made with regards to exemptions under the Data Protection Act and sign-off the information being disclosed.  This will also involve checking that the audit trail is robust.</w:t>
      </w:r>
    </w:p>
    <w:p w14:paraId="3859F224" w14:textId="0FA99F90" w:rsidR="00D11AEA" w:rsidRPr="00D11AEA" w:rsidRDefault="00D11AEA" w:rsidP="00D11AEA">
      <w:pPr>
        <w:pStyle w:val="Mainhead"/>
        <w:numPr>
          <w:ilvl w:val="0"/>
          <w:numId w:val="0"/>
        </w:numPr>
        <w:rPr>
          <w:b/>
          <w:bCs/>
          <w:sz w:val="24"/>
          <w:szCs w:val="24"/>
          <w:lang w:val="en-US"/>
        </w:rPr>
      </w:pPr>
      <w:r w:rsidRPr="00D11AEA">
        <w:rPr>
          <w:b/>
          <w:bCs/>
          <w:sz w:val="24"/>
          <w:szCs w:val="24"/>
          <w:lang w:val="en-US"/>
        </w:rPr>
        <w:t>Disclosure</w:t>
      </w:r>
    </w:p>
    <w:p w14:paraId="2558B16C" w14:textId="3F670BF7" w:rsidR="00D11AEA" w:rsidRPr="005D3864" w:rsidRDefault="00D11AEA" w:rsidP="00D11AEA">
      <w:pPr>
        <w:pStyle w:val="Paragraph"/>
        <w:ind w:left="709" w:hanging="567"/>
      </w:pPr>
      <w:r w:rsidRPr="005D3864">
        <w:t xml:space="preserve">Personal and potentially sensitive information needs to be disclosed in an appropriately secure way together with explanations regarding data which has been withheld or is subject to delayed disclosure (unless, of course, such an explanation would compromise third party data or an investigation in progress). </w:t>
      </w:r>
    </w:p>
    <w:p w14:paraId="569B41B1" w14:textId="1DF0F155" w:rsidR="00D11AEA" w:rsidRPr="005D3864" w:rsidRDefault="00D11AEA" w:rsidP="00D11AEA">
      <w:pPr>
        <w:pStyle w:val="Paragraph"/>
        <w:ind w:left="709" w:hanging="567"/>
      </w:pPr>
      <w:r w:rsidRPr="005D3864">
        <w:t xml:space="preserve">The DPO will write to the individual inform them of the types of data held, advise them of any reasons for exemption and arrange an appropriate way for them to review the data being held on them. </w:t>
      </w:r>
    </w:p>
    <w:p w14:paraId="54AA55E4" w14:textId="77777777" w:rsidR="00D11AEA" w:rsidRDefault="00D11AEA" w:rsidP="00D11AEA">
      <w:pPr>
        <w:pStyle w:val="NoSpacing"/>
        <w:rPr>
          <w:b/>
          <w:bCs/>
          <w:sz w:val="24"/>
          <w:szCs w:val="24"/>
        </w:rPr>
      </w:pPr>
    </w:p>
    <w:p w14:paraId="2A9E04DA" w14:textId="58220DAE" w:rsidR="00D11AEA" w:rsidRDefault="00D11AEA" w:rsidP="00D11AEA">
      <w:pPr>
        <w:pStyle w:val="NoSpacing"/>
        <w:rPr>
          <w:b/>
          <w:bCs/>
          <w:sz w:val="24"/>
          <w:szCs w:val="24"/>
        </w:rPr>
      </w:pPr>
      <w:r w:rsidRPr="00D11AEA">
        <w:rPr>
          <w:b/>
          <w:bCs/>
          <w:sz w:val="24"/>
          <w:szCs w:val="24"/>
        </w:rPr>
        <w:t>Response</w:t>
      </w:r>
    </w:p>
    <w:p w14:paraId="2D73BEED" w14:textId="1264E507" w:rsidR="00D11AEA" w:rsidRPr="00217512" w:rsidRDefault="00217512" w:rsidP="00217512">
      <w:pPr>
        <w:pStyle w:val="Paragraph"/>
        <w:ind w:left="709" w:hanging="567"/>
        <w:rPr>
          <w:b/>
          <w:bCs/>
          <w:sz w:val="24"/>
          <w:szCs w:val="24"/>
        </w:rPr>
      </w:pPr>
      <w:r w:rsidRPr="005D3864">
        <w:t xml:space="preserve">Following disclosure of the information to the individual, depending on the nature of data disclosed, there might need to be some form of organisational response ranging from appropriate clarification or correction of data held through to apology or legal defence.  This should clearly be under the supervision of the </w:t>
      </w:r>
      <w:r w:rsidR="005C4BE2" w:rsidRPr="005C4BE2">
        <w:rPr>
          <w:highlight w:val="yellow"/>
        </w:rPr>
        <w:t>PCC/TRUSTEES/BOARD</w:t>
      </w:r>
      <w:r w:rsidR="005C4BE2">
        <w:t xml:space="preserve"> </w:t>
      </w:r>
      <w:r w:rsidRPr="005D3864">
        <w:t>in all but the most routine of cases.</w:t>
      </w:r>
    </w:p>
    <w:sectPr w:rsidR="00D11AEA" w:rsidRPr="00217512" w:rsidSect="00EE0643">
      <w:pgSz w:w="11906" w:h="16838"/>
      <w:pgMar w:top="851" w:right="1440" w:bottom="1440" w:left="1440" w:header="12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F85BA" w14:textId="77777777" w:rsidR="00EE0643" w:rsidRDefault="00EE0643" w:rsidP="00EE0643">
      <w:pPr>
        <w:spacing w:before="0"/>
      </w:pPr>
      <w:r>
        <w:separator/>
      </w:r>
    </w:p>
  </w:endnote>
  <w:endnote w:type="continuationSeparator" w:id="0">
    <w:p w14:paraId="128781B9" w14:textId="77777777" w:rsidR="00EE0643" w:rsidRDefault="00EE0643" w:rsidP="00EE0643">
      <w:pPr>
        <w:spacing w:before="0"/>
      </w:pPr>
      <w:r>
        <w:continuationSeparator/>
      </w:r>
    </w:p>
  </w:endnote>
  <w:endnote w:type="continuationNotice" w:id="1">
    <w:p w14:paraId="6187BC72" w14:textId="77777777" w:rsidR="00875019" w:rsidRDefault="0087501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8A6F5" w14:textId="77777777" w:rsidR="00EE0643" w:rsidRDefault="00EE0643" w:rsidP="00EE0643">
      <w:pPr>
        <w:spacing w:before="0"/>
      </w:pPr>
      <w:r>
        <w:separator/>
      </w:r>
    </w:p>
  </w:footnote>
  <w:footnote w:type="continuationSeparator" w:id="0">
    <w:p w14:paraId="31A678F8" w14:textId="77777777" w:rsidR="00EE0643" w:rsidRDefault="00EE0643" w:rsidP="00EE0643">
      <w:pPr>
        <w:spacing w:before="0"/>
      </w:pPr>
      <w:r>
        <w:continuationSeparator/>
      </w:r>
    </w:p>
  </w:footnote>
  <w:footnote w:type="continuationNotice" w:id="1">
    <w:p w14:paraId="7018A5A5" w14:textId="77777777" w:rsidR="00875019" w:rsidRDefault="0087501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51912"/>
    <w:multiLevelType w:val="hybridMultilevel"/>
    <w:tmpl w:val="13D648F6"/>
    <w:lvl w:ilvl="0" w:tplc="8E46A940">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AC6AEE">
      <w:start w:val="1"/>
      <w:numFmt w:val="bullet"/>
      <w:lvlText w:val="o"/>
      <w:lvlJc w:val="left"/>
      <w:pPr>
        <w:ind w:left="1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F4D028">
      <w:start w:val="1"/>
      <w:numFmt w:val="bullet"/>
      <w:lvlText w:val="▪"/>
      <w:lvlJc w:val="left"/>
      <w:pPr>
        <w:ind w:left="25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62230A">
      <w:start w:val="1"/>
      <w:numFmt w:val="bullet"/>
      <w:lvlText w:val="•"/>
      <w:lvlJc w:val="left"/>
      <w:pPr>
        <w:ind w:left="3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F4AC0C">
      <w:start w:val="1"/>
      <w:numFmt w:val="bullet"/>
      <w:lvlText w:val="o"/>
      <w:lvlJc w:val="left"/>
      <w:pPr>
        <w:ind w:left="40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A03840">
      <w:start w:val="1"/>
      <w:numFmt w:val="bullet"/>
      <w:lvlText w:val="▪"/>
      <w:lvlJc w:val="left"/>
      <w:pPr>
        <w:ind w:left="47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A8FD5C">
      <w:start w:val="1"/>
      <w:numFmt w:val="bullet"/>
      <w:lvlText w:val="•"/>
      <w:lvlJc w:val="left"/>
      <w:pPr>
        <w:ind w:left="5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C234C8">
      <w:start w:val="1"/>
      <w:numFmt w:val="bullet"/>
      <w:lvlText w:val="o"/>
      <w:lvlJc w:val="left"/>
      <w:pPr>
        <w:ind w:left="6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04B622">
      <w:start w:val="1"/>
      <w:numFmt w:val="bullet"/>
      <w:lvlText w:val="▪"/>
      <w:lvlJc w:val="left"/>
      <w:pPr>
        <w:ind w:left="68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A6532D"/>
    <w:multiLevelType w:val="hybridMultilevel"/>
    <w:tmpl w:val="3802327E"/>
    <w:lvl w:ilvl="0" w:tplc="0809001B">
      <w:start w:val="1"/>
      <w:numFmt w:val="lowerRoman"/>
      <w:lvlText w:val="%1."/>
      <w:lvlJc w:val="right"/>
      <w:pPr>
        <w:ind w:left="774" w:hanging="360"/>
      </w:pPr>
      <w:rPr>
        <w:rFonts w:hint="default"/>
      </w:rPr>
    </w:lvl>
    <w:lvl w:ilvl="1" w:tplc="FFFFFFFF">
      <w:numFmt w:val="bullet"/>
      <w:lvlText w:val="•"/>
      <w:lvlJc w:val="left"/>
      <w:pPr>
        <w:ind w:left="1494" w:hanging="360"/>
      </w:pPr>
      <w:rPr>
        <w:rFonts w:ascii="Calibri" w:eastAsia="Calibri" w:hAnsi="Calibri" w:cs="Calibri"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2" w15:restartNumberingAfterBreak="0">
    <w:nsid w:val="1D266782"/>
    <w:multiLevelType w:val="multilevel"/>
    <w:tmpl w:val="8264A31E"/>
    <w:lvl w:ilvl="0">
      <w:start w:val="1"/>
      <w:numFmt w:val="decimal"/>
      <w:pStyle w:val="Mainhead"/>
      <w:lvlText w:val="%1."/>
      <w:lvlJc w:val="left"/>
      <w:pPr>
        <w:ind w:left="360" w:hanging="360"/>
      </w:pPr>
      <w:rPr>
        <w:rFonts w:hint="default"/>
      </w:rPr>
    </w:lvl>
    <w:lvl w:ilvl="1">
      <w:start w:val="1"/>
      <w:numFmt w:val="decimal"/>
      <w:pStyle w:val="Paragraph"/>
      <w:lvlText w:val="%1.%2."/>
      <w:lvlJc w:val="left"/>
      <w:pPr>
        <w:ind w:left="2701" w:hanging="432"/>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ubParagraph"/>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7AD208B"/>
    <w:multiLevelType w:val="hybridMultilevel"/>
    <w:tmpl w:val="95A08904"/>
    <w:lvl w:ilvl="0" w:tplc="EDB24A7A">
      <w:start w:val="1"/>
      <w:numFmt w:val="lowerRoman"/>
      <w:pStyle w:val="Numerals"/>
      <w:lvlText w:val="%1."/>
      <w:lvlJc w:val="left"/>
      <w:pPr>
        <w:ind w:left="1440" w:hanging="720"/>
      </w:pPr>
      <w:rPr>
        <w:rFonts w:hint="default"/>
        <w:sz w:val="22"/>
        <w:szCs w:val="22"/>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8813195"/>
    <w:multiLevelType w:val="multilevel"/>
    <w:tmpl w:val="8D88119A"/>
    <w:lvl w:ilvl="0">
      <w:start w:val="1"/>
      <w:numFmt w:val="decimal"/>
      <w:pStyle w:val="Style2"/>
      <w:lvlText w:val="%1."/>
      <w:lvlJc w:val="left"/>
      <w:pPr>
        <w:ind w:left="2062" w:hanging="360"/>
      </w:pPr>
    </w:lvl>
    <w:lvl w:ilvl="1">
      <w:start w:val="1"/>
      <w:numFmt w:val="decimal"/>
      <w:pStyle w:val="Style1"/>
      <w:lvlText w:val="%1.%2."/>
      <w:lvlJc w:val="left"/>
      <w:pPr>
        <w:ind w:left="1000"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FF82321"/>
    <w:multiLevelType w:val="hybridMultilevel"/>
    <w:tmpl w:val="1E9CC3B0"/>
    <w:lvl w:ilvl="0" w:tplc="B94C4E46">
      <w:start w:val="1"/>
      <w:numFmt w:val="bullet"/>
      <w:pStyle w:val="Bullet"/>
      <w:lvlText w:val=""/>
      <w:lvlJc w:val="left"/>
      <w:pPr>
        <w:ind w:left="774" w:hanging="360"/>
      </w:pPr>
      <w:rPr>
        <w:rFonts w:ascii="Symbol" w:hAnsi="Symbol" w:hint="default"/>
      </w:rPr>
    </w:lvl>
    <w:lvl w:ilvl="1" w:tplc="E1180D66">
      <w:numFmt w:val="bullet"/>
      <w:lvlText w:val="•"/>
      <w:lvlJc w:val="left"/>
      <w:pPr>
        <w:ind w:left="1494" w:hanging="360"/>
      </w:pPr>
      <w:rPr>
        <w:rFonts w:ascii="Calibri" w:eastAsia="Calibri" w:hAnsi="Calibri" w:cs="Calibri"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6" w15:restartNumberingAfterBreak="0">
    <w:nsid w:val="5B06319A"/>
    <w:multiLevelType w:val="hybridMultilevel"/>
    <w:tmpl w:val="53847B6E"/>
    <w:lvl w:ilvl="0" w:tplc="08090001">
      <w:start w:val="1"/>
      <w:numFmt w:val="bullet"/>
      <w:lvlText w:val=""/>
      <w:lvlJc w:val="left"/>
      <w:pPr>
        <w:ind w:left="1720" w:hanging="360"/>
      </w:pPr>
      <w:rPr>
        <w:rFonts w:ascii="Symbol" w:hAnsi="Symbol" w:hint="default"/>
      </w:rPr>
    </w:lvl>
    <w:lvl w:ilvl="1" w:tplc="08090003">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7" w15:restartNumberingAfterBreak="0">
    <w:nsid w:val="6B1C531E"/>
    <w:multiLevelType w:val="hybridMultilevel"/>
    <w:tmpl w:val="CE786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9283780">
    <w:abstractNumId w:val="2"/>
  </w:num>
  <w:num w:numId="2" w16cid:durableId="1803691807">
    <w:abstractNumId w:val="5"/>
  </w:num>
  <w:num w:numId="3" w16cid:durableId="1483079740">
    <w:abstractNumId w:val="3"/>
  </w:num>
  <w:num w:numId="4" w16cid:durableId="1403411063">
    <w:abstractNumId w:val="6"/>
  </w:num>
  <w:num w:numId="5" w16cid:durableId="257326868">
    <w:abstractNumId w:val="3"/>
    <w:lvlOverride w:ilvl="0">
      <w:startOverride w:val="1"/>
    </w:lvlOverride>
  </w:num>
  <w:num w:numId="6" w16cid:durableId="1005595574">
    <w:abstractNumId w:val="1"/>
  </w:num>
  <w:num w:numId="7" w16cid:durableId="67730590">
    <w:abstractNumId w:val="4"/>
  </w:num>
  <w:num w:numId="8" w16cid:durableId="1642996336">
    <w:abstractNumId w:val="0"/>
  </w:num>
  <w:num w:numId="9" w16cid:durableId="12184008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643"/>
    <w:rsid w:val="000D1587"/>
    <w:rsid w:val="00117365"/>
    <w:rsid w:val="001F7FE5"/>
    <w:rsid w:val="002040A3"/>
    <w:rsid w:val="00217512"/>
    <w:rsid w:val="00272CBC"/>
    <w:rsid w:val="00292393"/>
    <w:rsid w:val="003D3869"/>
    <w:rsid w:val="00431CB6"/>
    <w:rsid w:val="005975BF"/>
    <w:rsid w:val="005C4BE2"/>
    <w:rsid w:val="00742E75"/>
    <w:rsid w:val="007D7DFE"/>
    <w:rsid w:val="00875019"/>
    <w:rsid w:val="008F11CE"/>
    <w:rsid w:val="00BE4887"/>
    <w:rsid w:val="00BF0028"/>
    <w:rsid w:val="00D11AEA"/>
    <w:rsid w:val="00EE0643"/>
    <w:rsid w:val="00F220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93B63"/>
  <w15:chartTrackingRefBased/>
  <w15:docId w15:val="{83F97D5B-49DB-422F-B3BA-7004F1A8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0643"/>
    <w:pPr>
      <w:spacing w:before="120"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qFormat/>
    <w:rsid w:val="00EE0643"/>
    <w:pPr>
      <w:numPr>
        <w:ilvl w:val="1"/>
        <w:numId w:val="1"/>
      </w:numPr>
      <w:ind w:left="1000"/>
    </w:pPr>
    <w:rPr>
      <w:rFonts w:cs="Calibri"/>
    </w:rPr>
  </w:style>
  <w:style w:type="paragraph" w:customStyle="1" w:styleId="Mainhead">
    <w:name w:val="Main head"/>
    <w:basedOn w:val="Normal"/>
    <w:link w:val="MainheadChar"/>
    <w:qFormat/>
    <w:rsid w:val="00EE0643"/>
    <w:pPr>
      <w:numPr>
        <w:numId w:val="1"/>
      </w:numPr>
      <w:spacing w:before="480" w:after="360"/>
    </w:pPr>
    <w:rPr>
      <w:rFonts w:cs="Calibri"/>
      <w:sz w:val="48"/>
      <w:szCs w:val="48"/>
    </w:rPr>
  </w:style>
  <w:style w:type="character" w:customStyle="1" w:styleId="ParagraphChar">
    <w:name w:val="Paragraph Char"/>
    <w:link w:val="Paragraph"/>
    <w:rsid w:val="00EE0643"/>
    <w:rPr>
      <w:rFonts w:ascii="Calibri" w:eastAsia="Calibri" w:hAnsi="Calibri" w:cs="Calibri"/>
    </w:rPr>
  </w:style>
  <w:style w:type="paragraph" w:customStyle="1" w:styleId="Bullet">
    <w:name w:val="Bullet"/>
    <w:basedOn w:val="Normal"/>
    <w:link w:val="BulletChar"/>
    <w:qFormat/>
    <w:rsid w:val="00EE0643"/>
    <w:pPr>
      <w:numPr>
        <w:numId w:val="2"/>
      </w:numPr>
      <w:spacing w:before="60"/>
      <w:ind w:left="1134" w:hanging="357"/>
    </w:pPr>
    <w:rPr>
      <w:rFonts w:cs="Calibri"/>
    </w:rPr>
  </w:style>
  <w:style w:type="character" w:customStyle="1" w:styleId="MainheadChar">
    <w:name w:val="Main head Char"/>
    <w:link w:val="Mainhead"/>
    <w:rsid w:val="00EE0643"/>
    <w:rPr>
      <w:rFonts w:ascii="Calibri" w:eastAsia="Calibri" w:hAnsi="Calibri" w:cs="Calibri"/>
      <w:sz w:val="48"/>
      <w:szCs w:val="48"/>
    </w:rPr>
  </w:style>
  <w:style w:type="character" w:customStyle="1" w:styleId="BulletChar">
    <w:name w:val="Bullet Char"/>
    <w:link w:val="Bullet"/>
    <w:rsid w:val="00EE0643"/>
    <w:rPr>
      <w:rFonts w:ascii="Calibri" w:eastAsia="Calibri" w:hAnsi="Calibri" w:cs="Calibri"/>
    </w:rPr>
  </w:style>
  <w:style w:type="paragraph" w:customStyle="1" w:styleId="Numerals">
    <w:name w:val="Numerals"/>
    <w:basedOn w:val="Paragraph"/>
    <w:link w:val="NumeralsChar"/>
    <w:qFormat/>
    <w:rsid w:val="00EE0643"/>
    <w:pPr>
      <w:numPr>
        <w:ilvl w:val="0"/>
        <w:numId w:val="3"/>
      </w:numPr>
    </w:pPr>
  </w:style>
  <w:style w:type="paragraph" w:customStyle="1" w:styleId="SubParagraph">
    <w:name w:val="Sub Paragraph"/>
    <w:basedOn w:val="Paragraph"/>
    <w:link w:val="SubParagraphChar"/>
    <w:qFormat/>
    <w:rsid w:val="00EE0643"/>
    <w:pPr>
      <w:numPr>
        <w:ilvl w:val="2"/>
      </w:numPr>
    </w:pPr>
  </w:style>
  <w:style w:type="character" w:customStyle="1" w:styleId="NumeralsChar">
    <w:name w:val="Numerals Char"/>
    <w:basedOn w:val="ParagraphChar"/>
    <w:link w:val="Numerals"/>
    <w:rsid w:val="00EE0643"/>
    <w:rPr>
      <w:rFonts w:ascii="Calibri" w:eastAsia="Calibri" w:hAnsi="Calibri" w:cs="Calibri"/>
    </w:rPr>
  </w:style>
  <w:style w:type="character" w:customStyle="1" w:styleId="SubParagraphChar">
    <w:name w:val="Sub Paragraph Char"/>
    <w:basedOn w:val="ParagraphChar"/>
    <w:link w:val="SubParagraph"/>
    <w:rsid w:val="00EE0643"/>
    <w:rPr>
      <w:rFonts w:ascii="Calibri" w:eastAsia="Calibri" w:hAnsi="Calibri" w:cs="Calibri"/>
    </w:rPr>
  </w:style>
  <w:style w:type="paragraph" w:customStyle="1" w:styleId="Mainheading">
    <w:name w:val="Main heading"/>
    <w:basedOn w:val="Normal"/>
    <w:link w:val="MainheadingChar"/>
    <w:qFormat/>
    <w:rsid w:val="00EE0643"/>
    <w:pPr>
      <w:spacing w:before="360" w:after="360"/>
    </w:pPr>
    <w:rPr>
      <w:rFonts w:cs="Calibri"/>
      <w:sz w:val="48"/>
      <w:szCs w:val="48"/>
    </w:rPr>
  </w:style>
  <w:style w:type="character" w:customStyle="1" w:styleId="MainheadingChar">
    <w:name w:val="Main heading Char"/>
    <w:link w:val="Mainheading"/>
    <w:rsid w:val="00EE0643"/>
    <w:rPr>
      <w:rFonts w:ascii="Calibri" w:eastAsia="Calibri" w:hAnsi="Calibri" w:cs="Calibri"/>
      <w:sz w:val="48"/>
      <w:szCs w:val="48"/>
    </w:rPr>
  </w:style>
  <w:style w:type="paragraph" w:styleId="Header">
    <w:name w:val="header"/>
    <w:basedOn w:val="Normal"/>
    <w:link w:val="HeaderChar"/>
    <w:uiPriority w:val="99"/>
    <w:unhideWhenUsed/>
    <w:rsid w:val="00EE0643"/>
    <w:pPr>
      <w:tabs>
        <w:tab w:val="center" w:pos="4513"/>
        <w:tab w:val="right" w:pos="9026"/>
      </w:tabs>
      <w:spacing w:before="0"/>
    </w:pPr>
  </w:style>
  <w:style w:type="character" w:customStyle="1" w:styleId="HeaderChar">
    <w:name w:val="Header Char"/>
    <w:basedOn w:val="DefaultParagraphFont"/>
    <w:link w:val="Header"/>
    <w:uiPriority w:val="99"/>
    <w:rsid w:val="00EE0643"/>
    <w:rPr>
      <w:rFonts w:ascii="Calibri" w:eastAsia="Calibri" w:hAnsi="Calibri" w:cs="Times New Roman"/>
    </w:rPr>
  </w:style>
  <w:style w:type="paragraph" w:styleId="Footer">
    <w:name w:val="footer"/>
    <w:basedOn w:val="Normal"/>
    <w:link w:val="FooterChar"/>
    <w:uiPriority w:val="99"/>
    <w:unhideWhenUsed/>
    <w:rsid w:val="00EE0643"/>
    <w:pPr>
      <w:tabs>
        <w:tab w:val="center" w:pos="4513"/>
        <w:tab w:val="right" w:pos="9026"/>
      </w:tabs>
      <w:spacing w:before="0"/>
    </w:pPr>
  </w:style>
  <w:style w:type="character" w:customStyle="1" w:styleId="FooterChar">
    <w:name w:val="Footer Char"/>
    <w:basedOn w:val="DefaultParagraphFont"/>
    <w:link w:val="Footer"/>
    <w:uiPriority w:val="99"/>
    <w:rsid w:val="00EE0643"/>
    <w:rPr>
      <w:rFonts w:ascii="Calibri" w:eastAsia="Calibri" w:hAnsi="Calibri" w:cs="Times New Roman"/>
    </w:rPr>
  </w:style>
  <w:style w:type="paragraph" w:customStyle="1" w:styleId="Style1">
    <w:name w:val="Style1"/>
    <w:basedOn w:val="Normal"/>
    <w:link w:val="Style1Char"/>
    <w:qFormat/>
    <w:rsid w:val="00272CBC"/>
    <w:pPr>
      <w:numPr>
        <w:ilvl w:val="1"/>
        <w:numId w:val="7"/>
      </w:numPr>
      <w:ind w:left="709" w:hanging="573"/>
    </w:pPr>
    <w:rPr>
      <w:rFonts w:cs="Calibri"/>
    </w:rPr>
  </w:style>
  <w:style w:type="paragraph" w:customStyle="1" w:styleId="Style2">
    <w:name w:val="Style2"/>
    <w:basedOn w:val="Normal"/>
    <w:qFormat/>
    <w:rsid w:val="00272CBC"/>
    <w:pPr>
      <w:numPr>
        <w:numId w:val="7"/>
      </w:numPr>
      <w:spacing w:before="240" w:after="240"/>
      <w:ind w:left="709" w:hanging="709"/>
    </w:pPr>
    <w:rPr>
      <w:rFonts w:cs="Calibri"/>
      <w:sz w:val="48"/>
      <w:szCs w:val="48"/>
    </w:rPr>
  </w:style>
  <w:style w:type="character" w:customStyle="1" w:styleId="Style1Char">
    <w:name w:val="Style1 Char"/>
    <w:link w:val="Style1"/>
    <w:rsid w:val="00272CBC"/>
    <w:rPr>
      <w:rFonts w:ascii="Calibri" w:eastAsia="Calibri" w:hAnsi="Calibri" w:cs="Calibri"/>
    </w:rPr>
  </w:style>
  <w:style w:type="paragraph" w:styleId="NoSpacing">
    <w:name w:val="No Spacing"/>
    <w:uiPriority w:val="1"/>
    <w:qFormat/>
    <w:rsid w:val="002040A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media/for-organisations/documents/2259722/subject-access-code-of-practice.pdf" TargetMode="External"/><Relationship Id="rId18" Type="http://schemas.openxmlformats.org/officeDocument/2006/relationships/hyperlink" Target="https://ico.org.uk/media/for-organisations/documents/2259722/subject-access-code-of-practice.pdf" TargetMode="External"/><Relationship Id="rId3" Type="http://schemas.openxmlformats.org/officeDocument/2006/relationships/customXml" Target="../customXml/item3.xml"/><Relationship Id="rId21" Type="http://schemas.openxmlformats.org/officeDocument/2006/relationships/hyperlink" Target="https://ico.org.uk/media/for-organisations/documents/2259722/subject-access-code-of-practice.pdf" TargetMode="External"/><Relationship Id="rId7" Type="http://schemas.openxmlformats.org/officeDocument/2006/relationships/webSettings" Target="webSettings.xml"/><Relationship Id="rId12" Type="http://schemas.openxmlformats.org/officeDocument/2006/relationships/hyperlink" Target="https://ico.org.uk/media/for-organisations/documents/2259722/subject-access-code-of-practice.pdf" TargetMode="External"/><Relationship Id="rId17" Type="http://schemas.openxmlformats.org/officeDocument/2006/relationships/hyperlink" Target="https://ico.org.uk/media/for-organisations/documents/2259722/subject-access-code-of-practice.pdf" TargetMode="External"/><Relationship Id="rId2" Type="http://schemas.openxmlformats.org/officeDocument/2006/relationships/customXml" Target="../customXml/item2.xml"/><Relationship Id="rId16" Type="http://schemas.openxmlformats.org/officeDocument/2006/relationships/hyperlink" Target="https://ico.org.uk/media/for-organisations/documents/2259722/subject-access-code-of-practice.pdf" TargetMode="External"/><Relationship Id="rId20" Type="http://schemas.openxmlformats.org/officeDocument/2006/relationships/hyperlink" Target="https://ico.org.uk/media/for-organisations/documents/2259722/subject-access-code-of-practic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media/for-organisations/documents/2259722/subject-access-code-of-practice.pdf" TargetMode="External"/><Relationship Id="rId5" Type="http://schemas.openxmlformats.org/officeDocument/2006/relationships/styles" Target="styles.xml"/><Relationship Id="rId15" Type="http://schemas.openxmlformats.org/officeDocument/2006/relationships/hyperlink" Target="https://ico.org.uk/media/for-organisations/documents/2259722/subject-access-code-of-practice.pdf" TargetMode="External"/><Relationship Id="rId23" Type="http://schemas.openxmlformats.org/officeDocument/2006/relationships/theme" Target="theme/theme1.xml"/><Relationship Id="rId10" Type="http://schemas.openxmlformats.org/officeDocument/2006/relationships/hyperlink" Target="https://ico.org.uk/media/for-organisations/documents/2259722/subject-access-code-of-practice.pdf" TargetMode="External"/><Relationship Id="rId19" Type="http://schemas.openxmlformats.org/officeDocument/2006/relationships/hyperlink" Target="https://ico.org.uk/media/for-organisations/documents/2259722/subject-access-code-of-practic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media/for-organisations/documents/2259722/subject-access-code-of-practice.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Props1.xml><?xml version="1.0" encoding="utf-8"?>
<ds:datastoreItem xmlns:ds="http://schemas.openxmlformats.org/officeDocument/2006/customXml" ds:itemID="{476D5BFC-53D1-4276-8CB6-0E9C7E66039C}">
  <ds:schemaRefs>
    <ds:schemaRef ds:uri="http://schemas.microsoft.com/sharepoint/v3/contenttype/forms"/>
  </ds:schemaRefs>
</ds:datastoreItem>
</file>

<file path=customXml/itemProps2.xml><?xml version="1.0" encoding="utf-8"?>
<ds:datastoreItem xmlns:ds="http://schemas.openxmlformats.org/officeDocument/2006/customXml" ds:itemID="{7F67CAF1-D8EE-44B7-9C7F-08806DA6E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375CA3-EB23-46F2-95A8-FAEC6444C4C9}">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1956</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King</dc:creator>
  <cp:keywords/>
  <dc:description/>
  <cp:lastModifiedBy>Simone Smith</cp:lastModifiedBy>
  <cp:revision>8</cp:revision>
  <dcterms:created xsi:type="dcterms:W3CDTF">2021-11-30T11:41:00Z</dcterms:created>
  <dcterms:modified xsi:type="dcterms:W3CDTF">2023-06-05T14:06:00Z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