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426" w:tblpY="140"/>
        <w:tblW w:w="10314" w:type="dxa"/>
        <w:tblLook w:val="00A0" w:firstRow="1" w:lastRow="0" w:firstColumn="1" w:lastColumn="0" w:noHBand="0" w:noVBand="0"/>
      </w:tblPr>
      <w:tblGrid>
        <w:gridCol w:w="3544"/>
        <w:gridCol w:w="6770"/>
      </w:tblGrid>
      <w:tr w:rsidR="00EE0643" w:rsidRPr="00FC6E02" w14:paraId="6DA5FA24" w14:textId="77777777" w:rsidTr="00292393">
        <w:trPr>
          <w:trHeight w:val="1340"/>
        </w:trPr>
        <w:tc>
          <w:tcPr>
            <w:tcW w:w="3544" w:type="dxa"/>
          </w:tcPr>
          <w:p w14:paraId="62575863" w14:textId="1A9A76EA" w:rsidR="00EE0643" w:rsidRPr="003C575A" w:rsidRDefault="006A69C2" w:rsidP="00292393">
            <w:pPr>
              <w:rPr>
                <w:rFonts w:ascii="Arial" w:hAnsi="Arial" w:cs="Arial"/>
              </w:rPr>
            </w:pPr>
            <w:r w:rsidRPr="006A69C2">
              <w:rPr>
                <w:rFonts w:ascii="Arial" w:hAnsi="Arial" w:cs="Arial"/>
                <w:noProof/>
                <w:highlight w:val="yellow"/>
              </w:rPr>
              <w:t>PCC LOGO</w:t>
            </w:r>
          </w:p>
        </w:tc>
        <w:tc>
          <w:tcPr>
            <w:tcW w:w="6770" w:type="dxa"/>
            <w:vAlign w:val="center"/>
          </w:tcPr>
          <w:p w14:paraId="4BE6BB23" w14:textId="73BCA3A1" w:rsidR="00EE0643" w:rsidRPr="00FF248D" w:rsidRDefault="006F1585" w:rsidP="00292393">
            <w:pPr>
              <w:ind w:firstLine="19"/>
              <w:jc w:val="center"/>
              <w:rPr>
                <w:rFonts w:cs="Calibri"/>
              </w:rPr>
            </w:pPr>
            <w:r w:rsidRPr="006F1585">
              <w:rPr>
                <w:rFonts w:cs="Calibri"/>
                <w:sz w:val="56"/>
                <w:szCs w:val="56"/>
              </w:rPr>
              <w:t xml:space="preserve">Disclosure of </w:t>
            </w:r>
            <w:r>
              <w:rPr>
                <w:rFonts w:cs="Calibri"/>
                <w:sz w:val="56"/>
                <w:szCs w:val="56"/>
              </w:rPr>
              <w:t>P</w:t>
            </w:r>
            <w:r w:rsidRPr="006F1585">
              <w:rPr>
                <w:rFonts w:cs="Calibri"/>
                <w:sz w:val="56"/>
                <w:szCs w:val="56"/>
              </w:rPr>
              <w:t>ublic interest matters (whistleblowing)</w:t>
            </w:r>
            <w:r>
              <w:rPr>
                <w:rFonts w:cs="Calibri"/>
                <w:sz w:val="56"/>
                <w:szCs w:val="56"/>
              </w:rPr>
              <w:t xml:space="preserve"> </w:t>
            </w:r>
            <w:r w:rsidRPr="002E3C56">
              <w:rPr>
                <w:rFonts w:cs="Calibri"/>
                <w:sz w:val="56"/>
                <w:szCs w:val="56"/>
              </w:rPr>
              <w:t>policy</w:t>
            </w:r>
          </w:p>
        </w:tc>
      </w:tr>
    </w:tbl>
    <w:p w14:paraId="137A1B69" w14:textId="77777777" w:rsidR="00EE0643" w:rsidRDefault="00EE0643" w:rsidP="00EE0643">
      <w:pPr>
        <w:pStyle w:val="Mainheading"/>
        <w:spacing w:after="0"/>
      </w:pPr>
      <w:r w:rsidRPr="00B34359">
        <w:t>Document Overview</w:t>
      </w:r>
    </w:p>
    <w:p w14:paraId="4E7A4703" w14:textId="77777777" w:rsidR="00EE0643" w:rsidRDefault="00EE0643" w:rsidP="00EE0643">
      <w:pPr>
        <w:pStyle w:val="Paragraph"/>
        <w:numPr>
          <w:ilvl w:val="0"/>
          <w:numId w:val="0"/>
        </w:numPr>
        <w:spacing w:before="0"/>
        <w:ind w:left="792"/>
      </w:pPr>
    </w:p>
    <w:tbl>
      <w:tblPr>
        <w:tblpPr w:leftFromText="180" w:rightFromText="180" w:vertAnchor="text" w:horzAnchor="margin" w:tblpY="5"/>
        <w:tblW w:w="0" w:type="auto"/>
        <w:tblBorders>
          <w:top w:val="single" w:sz="8" w:space="0" w:color="000000"/>
          <w:bottom w:val="single" w:sz="8" w:space="0" w:color="000000"/>
        </w:tblBorders>
        <w:tblLook w:val="0600" w:firstRow="0" w:lastRow="0" w:firstColumn="0" w:lastColumn="0" w:noHBand="1" w:noVBand="1"/>
      </w:tblPr>
      <w:tblGrid>
        <w:gridCol w:w="2560"/>
        <w:gridCol w:w="6466"/>
      </w:tblGrid>
      <w:tr w:rsidR="00EE0643" w:rsidRPr="00DB18B3" w14:paraId="61ECC36A" w14:textId="77777777" w:rsidTr="002A7CE6">
        <w:trPr>
          <w:trHeight w:val="271"/>
        </w:trPr>
        <w:tc>
          <w:tcPr>
            <w:tcW w:w="2802" w:type="dxa"/>
            <w:shd w:val="clear" w:color="auto" w:fill="D9D9D9"/>
          </w:tcPr>
          <w:p w14:paraId="44031CF3" w14:textId="77777777" w:rsidR="00EE0643" w:rsidRPr="00BF2EF4" w:rsidRDefault="00EE0643" w:rsidP="002A7CE6">
            <w:pPr>
              <w:spacing w:after="120"/>
              <w:jc w:val="right"/>
              <w:rPr>
                <w:rFonts w:cs="Calibri"/>
                <w:b/>
              </w:rPr>
            </w:pPr>
            <w:r w:rsidRPr="00BF2EF4">
              <w:rPr>
                <w:b/>
              </w:rPr>
              <w:t>Purpose</w:t>
            </w:r>
          </w:p>
        </w:tc>
        <w:tc>
          <w:tcPr>
            <w:tcW w:w="7619" w:type="dxa"/>
            <w:shd w:val="clear" w:color="auto" w:fill="D9D9D9"/>
          </w:tcPr>
          <w:p w14:paraId="467A6E78" w14:textId="3542583B" w:rsidR="00EE0643" w:rsidRPr="00BF2EF4" w:rsidRDefault="00EE0643" w:rsidP="002A7CE6">
            <w:pPr>
              <w:spacing w:after="120"/>
              <w:rPr>
                <w:rFonts w:cs="Calibri"/>
              </w:rPr>
            </w:pPr>
            <w:r w:rsidRPr="00BF2EF4">
              <w:rPr>
                <w:rFonts w:cs="Calibri"/>
              </w:rPr>
              <w:t xml:space="preserve">The purpose of this </w:t>
            </w:r>
            <w:r>
              <w:rPr>
                <w:rFonts w:cs="Calibri"/>
              </w:rPr>
              <w:t xml:space="preserve">policy </w:t>
            </w:r>
            <w:r>
              <w:t xml:space="preserve">is </w:t>
            </w:r>
            <w:r w:rsidRPr="002E3C56">
              <w:rPr>
                <w:rFonts w:cs="Calibri"/>
              </w:rPr>
              <w:t xml:space="preserve">to ensure that </w:t>
            </w:r>
            <w:r w:rsidR="006F1585">
              <w:rPr>
                <w:rFonts w:cs="Calibri"/>
              </w:rPr>
              <w:t>understand the process with regard to disclosing information that could be a public interest matter (Also known as Whistleblowing)</w:t>
            </w:r>
            <w:r w:rsidRPr="002E3C56">
              <w:rPr>
                <w:rFonts w:cs="Calibri"/>
              </w:rPr>
              <w:t>. This policy applies to all staff with a contract of employment.</w:t>
            </w:r>
          </w:p>
        </w:tc>
      </w:tr>
      <w:tr w:rsidR="00EE0643" w:rsidRPr="00DB18B3" w14:paraId="3E536713" w14:textId="77777777" w:rsidTr="002A7CE6">
        <w:tc>
          <w:tcPr>
            <w:tcW w:w="2802" w:type="dxa"/>
          </w:tcPr>
          <w:p w14:paraId="5311A0D5" w14:textId="77777777" w:rsidR="00EE0643" w:rsidRPr="00BF2EF4" w:rsidRDefault="00EE0643" w:rsidP="002A7CE6">
            <w:pPr>
              <w:spacing w:after="120"/>
              <w:jc w:val="right"/>
              <w:rPr>
                <w:rFonts w:cs="Calibri"/>
                <w:b/>
              </w:rPr>
            </w:pPr>
            <w:r w:rsidRPr="00BF2EF4">
              <w:rPr>
                <w:rFonts w:cs="Calibri"/>
                <w:b/>
              </w:rPr>
              <w:t>Confidentiality</w:t>
            </w:r>
          </w:p>
        </w:tc>
        <w:tc>
          <w:tcPr>
            <w:tcW w:w="7619" w:type="dxa"/>
          </w:tcPr>
          <w:p w14:paraId="6653F7B9" w14:textId="77777777" w:rsidR="00EE0643" w:rsidRPr="00BF2EF4" w:rsidRDefault="00EE0643" w:rsidP="002A7CE6">
            <w:pPr>
              <w:spacing w:after="120"/>
              <w:rPr>
                <w:rFonts w:cs="Calibri"/>
              </w:rPr>
            </w:pPr>
            <w:r w:rsidRPr="00BF2EF4">
              <w:rPr>
                <w:rFonts w:cs="Calibri"/>
              </w:rPr>
              <w:t>This document is not confidential.</w:t>
            </w:r>
          </w:p>
        </w:tc>
      </w:tr>
      <w:tr w:rsidR="00EE0643" w:rsidRPr="00DB18B3" w14:paraId="543BC58F" w14:textId="77777777" w:rsidTr="002A7CE6">
        <w:tc>
          <w:tcPr>
            <w:tcW w:w="2802" w:type="dxa"/>
            <w:shd w:val="clear" w:color="auto" w:fill="D9D9D9"/>
          </w:tcPr>
          <w:p w14:paraId="20A608D7" w14:textId="77777777" w:rsidR="00EE0643" w:rsidRPr="00BF2EF4" w:rsidRDefault="00EE0643" w:rsidP="002A7CE6">
            <w:pPr>
              <w:spacing w:after="120"/>
              <w:jc w:val="right"/>
              <w:rPr>
                <w:rFonts w:cs="Calibri"/>
                <w:b/>
              </w:rPr>
            </w:pPr>
            <w:r w:rsidRPr="00BF2EF4">
              <w:rPr>
                <w:rFonts w:cs="Calibri"/>
                <w:b/>
              </w:rPr>
              <w:t>Document owner</w:t>
            </w:r>
          </w:p>
        </w:tc>
        <w:tc>
          <w:tcPr>
            <w:tcW w:w="7619" w:type="dxa"/>
            <w:shd w:val="clear" w:color="auto" w:fill="D9D9D9"/>
          </w:tcPr>
          <w:p w14:paraId="1CADD7C8" w14:textId="32D0BA03" w:rsidR="00EE0643" w:rsidRPr="00BF2EF4" w:rsidRDefault="00EE0643" w:rsidP="002A7CE6">
            <w:pPr>
              <w:spacing w:after="120"/>
              <w:rPr>
                <w:rFonts w:cs="Calibri"/>
              </w:rPr>
            </w:pPr>
          </w:p>
        </w:tc>
      </w:tr>
      <w:tr w:rsidR="00EE0643" w:rsidRPr="00DB18B3" w14:paraId="22AE1B02" w14:textId="77777777" w:rsidTr="002A7CE6">
        <w:tc>
          <w:tcPr>
            <w:tcW w:w="2802" w:type="dxa"/>
          </w:tcPr>
          <w:p w14:paraId="1416D7BE" w14:textId="77777777" w:rsidR="00EE0643" w:rsidRPr="00BF2EF4" w:rsidRDefault="00EE0643" w:rsidP="002A7CE6">
            <w:pPr>
              <w:spacing w:after="120"/>
              <w:jc w:val="right"/>
              <w:rPr>
                <w:rFonts w:cs="Calibri"/>
                <w:b/>
              </w:rPr>
            </w:pPr>
            <w:r w:rsidRPr="00BF2EF4">
              <w:rPr>
                <w:rFonts w:cs="Calibri"/>
                <w:b/>
              </w:rPr>
              <w:t>Status note</w:t>
            </w:r>
          </w:p>
        </w:tc>
        <w:tc>
          <w:tcPr>
            <w:tcW w:w="7619" w:type="dxa"/>
          </w:tcPr>
          <w:p w14:paraId="4B5F50DD" w14:textId="581756DA" w:rsidR="00EE0643" w:rsidRPr="00BF2EF4" w:rsidRDefault="006A69C2" w:rsidP="002A7CE6">
            <w:pPr>
              <w:spacing w:after="120"/>
              <w:rPr>
                <w:rFonts w:cs="Calibri"/>
              </w:rPr>
            </w:pPr>
            <w:r>
              <w:rPr>
                <w:rFonts w:cs="Calibri"/>
              </w:rPr>
              <w:t>Draft/</w:t>
            </w:r>
            <w:r w:rsidR="00EE0643">
              <w:rPr>
                <w:rFonts w:cs="Calibri"/>
              </w:rPr>
              <w:t>Final</w:t>
            </w:r>
          </w:p>
        </w:tc>
      </w:tr>
      <w:tr w:rsidR="00EE0643" w:rsidRPr="00DB18B3" w14:paraId="6B6B5752" w14:textId="77777777" w:rsidTr="002A7CE6">
        <w:tc>
          <w:tcPr>
            <w:tcW w:w="2802" w:type="dxa"/>
            <w:shd w:val="clear" w:color="auto" w:fill="D9D9D9"/>
          </w:tcPr>
          <w:p w14:paraId="0C4EE4B6" w14:textId="77777777" w:rsidR="00EE0643" w:rsidRPr="00BF2EF4" w:rsidRDefault="00EE0643" w:rsidP="002A7CE6">
            <w:pPr>
              <w:spacing w:after="120"/>
              <w:jc w:val="right"/>
              <w:rPr>
                <w:rFonts w:cs="Calibri"/>
                <w:b/>
              </w:rPr>
            </w:pPr>
            <w:r w:rsidRPr="00BF2EF4">
              <w:rPr>
                <w:rFonts w:cs="Calibri"/>
                <w:b/>
              </w:rPr>
              <w:t>Distribution</w:t>
            </w:r>
          </w:p>
        </w:tc>
        <w:tc>
          <w:tcPr>
            <w:tcW w:w="7619" w:type="dxa"/>
            <w:shd w:val="clear" w:color="auto" w:fill="D9D9D9"/>
          </w:tcPr>
          <w:p w14:paraId="49A8CA72" w14:textId="16DD2E08" w:rsidR="00EE0643" w:rsidRPr="00BF2EF4" w:rsidRDefault="00EE0643" w:rsidP="002A7CE6">
            <w:pPr>
              <w:spacing w:after="120"/>
              <w:rPr>
                <w:rFonts w:cs="Calibri"/>
              </w:rPr>
            </w:pPr>
            <w:r w:rsidRPr="00BF2EF4">
              <w:rPr>
                <w:rFonts w:cs="Calibri"/>
              </w:rPr>
              <w:t>All</w:t>
            </w:r>
            <w:r>
              <w:rPr>
                <w:rFonts w:cs="Calibri"/>
              </w:rPr>
              <w:t xml:space="preserve"> </w:t>
            </w:r>
            <w:r w:rsidR="006A69C2">
              <w:rPr>
                <w:rFonts w:cs="Calibri"/>
              </w:rPr>
              <w:t>PCC</w:t>
            </w:r>
            <w:r w:rsidRPr="00BF2EF4">
              <w:rPr>
                <w:rFonts w:cs="Calibri"/>
              </w:rPr>
              <w:t xml:space="preserve"> </w:t>
            </w:r>
            <w:r>
              <w:rPr>
                <w:rFonts w:cs="Calibri"/>
              </w:rPr>
              <w:t>staff.</w:t>
            </w:r>
          </w:p>
        </w:tc>
      </w:tr>
      <w:tr w:rsidR="00EE0643" w:rsidRPr="00DB18B3" w14:paraId="567BDA2A" w14:textId="77777777" w:rsidTr="002A7CE6">
        <w:tc>
          <w:tcPr>
            <w:tcW w:w="2802" w:type="dxa"/>
          </w:tcPr>
          <w:p w14:paraId="1001D1D0" w14:textId="77777777" w:rsidR="00EE0643" w:rsidRPr="00BF2EF4" w:rsidRDefault="00EE0643" w:rsidP="002A7CE6">
            <w:pPr>
              <w:spacing w:after="120"/>
              <w:jc w:val="right"/>
              <w:rPr>
                <w:rFonts w:cs="Calibri"/>
                <w:b/>
              </w:rPr>
            </w:pPr>
            <w:r w:rsidRPr="00BF2EF4">
              <w:rPr>
                <w:rFonts w:cs="Calibri"/>
                <w:b/>
              </w:rPr>
              <w:t>Required action</w:t>
            </w:r>
          </w:p>
        </w:tc>
        <w:tc>
          <w:tcPr>
            <w:tcW w:w="7619" w:type="dxa"/>
          </w:tcPr>
          <w:p w14:paraId="30DAD721" w14:textId="77777777" w:rsidR="00EE0643" w:rsidRPr="00BF2EF4" w:rsidRDefault="00EE0643" w:rsidP="002A7CE6">
            <w:pPr>
              <w:spacing w:after="120"/>
              <w:rPr>
                <w:rFonts w:cs="Calibri"/>
              </w:rPr>
            </w:pPr>
          </w:p>
        </w:tc>
      </w:tr>
      <w:tr w:rsidR="00EE0643" w:rsidRPr="00DB18B3" w14:paraId="56496B79" w14:textId="77777777" w:rsidTr="002A7CE6">
        <w:tc>
          <w:tcPr>
            <w:tcW w:w="2802" w:type="dxa"/>
            <w:shd w:val="clear" w:color="auto" w:fill="D9D9D9"/>
          </w:tcPr>
          <w:p w14:paraId="686D5A8B" w14:textId="77777777" w:rsidR="00EE0643" w:rsidRPr="00BF2EF4" w:rsidRDefault="00EE0643" w:rsidP="002A7CE6">
            <w:pPr>
              <w:spacing w:after="120"/>
              <w:jc w:val="right"/>
              <w:rPr>
                <w:rFonts w:cs="Calibri"/>
                <w:b/>
              </w:rPr>
            </w:pPr>
            <w:r w:rsidRPr="00BF2EF4">
              <w:rPr>
                <w:rFonts w:cs="Calibri"/>
                <w:b/>
              </w:rPr>
              <w:t>Proposed next step</w:t>
            </w:r>
          </w:p>
        </w:tc>
        <w:tc>
          <w:tcPr>
            <w:tcW w:w="7619" w:type="dxa"/>
            <w:shd w:val="clear" w:color="auto" w:fill="D9D9D9"/>
          </w:tcPr>
          <w:p w14:paraId="463765CE" w14:textId="77777777" w:rsidR="00EE0643" w:rsidRPr="00BF2EF4" w:rsidRDefault="00EE0643" w:rsidP="002A7CE6">
            <w:pPr>
              <w:spacing w:after="120"/>
              <w:rPr>
                <w:rFonts w:cs="Calibri"/>
              </w:rPr>
            </w:pPr>
          </w:p>
        </w:tc>
      </w:tr>
    </w:tbl>
    <w:p w14:paraId="59ACE06A" w14:textId="77777777" w:rsidR="00EE0643" w:rsidRDefault="00EE0643" w:rsidP="00EE0643">
      <w:pPr>
        <w:pStyle w:val="Mainheading"/>
        <w:spacing w:after="0"/>
      </w:pPr>
      <w:r>
        <w:t>Version History</w:t>
      </w:r>
    </w:p>
    <w:p w14:paraId="582A2C15" w14:textId="77777777" w:rsidR="00EE0643" w:rsidRDefault="00EE0643" w:rsidP="00EE0643">
      <w:pPr>
        <w:pStyle w:val="Paragraph"/>
        <w:numPr>
          <w:ilvl w:val="0"/>
          <w:numId w:val="0"/>
        </w:numPr>
        <w:spacing w:before="0"/>
        <w:ind w:left="792" w:hanging="432"/>
      </w:pPr>
    </w:p>
    <w:tbl>
      <w:tblPr>
        <w:tblpPr w:leftFromText="180" w:rightFromText="180" w:vertAnchor="text" w:horzAnchor="margin" w:tblpY="5"/>
        <w:tblW w:w="892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353"/>
        <w:gridCol w:w="1278"/>
        <w:gridCol w:w="6295"/>
      </w:tblGrid>
      <w:tr w:rsidR="00EE0643" w:rsidRPr="00DB18B3" w14:paraId="0BADEE00" w14:textId="77777777" w:rsidTr="00292393">
        <w:trPr>
          <w:trHeight w:val="271"/>
        </w:trPr>
        <w:tc>
          <w:tcPr>
            <w:tcW w:w="1353" w:type="dxa"/>
          </w:tcPr>
          <w:p w14:paraId="64E9F8D8" w14:textId="77777777" w:rsidR="00EE0643" w:rsidRPr="00BF2EF4" w:rsidRDefault="00EE0643" w:rsidP="002A7CE6">
            <w:pPr>
              <w:spacing w:before="40" w:after="40"/>
              <w:jc w:val="center"/>
              <w:rPr>
                <w:rFonts w:cs="Calibri"/>
                <w:b/>
              </w:rPr>
            </w:pPr>
            <w:r w:rsidRPr="00BF2EF4">
              <w:rPr>
                <w:rFonts w:cs="Calibri"/>
                <w:b/>
              </w:rPr>
              <w:t>Version</w:t>
            </w:r>
          </w:p>
        </w:tc>
        <w:tc>
          <w:tcPr>
            <w:tcW w:w="1278" w:type="dxa"/>
          </w:tcPr>
          <w:p w14:paraId="7EFC60CA" w14:textId="77777777" w:rsidR="00EE0643" w:rsidRPr="00BF2EF4" w:rsidRDefault="00EE0643" w:rsidP="002A7CE6">
            <w:pPr>
              <w:spacing w:before="40" w:after="40"/>
              <w:jc w:val="center"/>
              <w:rPr>
                <w:rFonts w:cs="Calibri"/>
                <w:b/>
              </w:rPr>
            </w:pPr>
            <w:r w:rsidRPr="00BF2EF4">
              <w:rPr>
                <w:rFonts w:cs="Calibri"/>
                <w:b/>
              </w:rPr>
              <w:t>Date</w:t>
            </w:r>
          </w:p>
        </w:tc>
        <w:tc>
          <w:tcPr>
            <w:tcW w:w="6295" w:type="dxa"/>
          </w:tcPr>
          <w:p w14:paraId="331A1BEC" w14:textId="77777777" w:rsidR="00EE0643" w:rsidRPr="00BF2EF4" w:rsidRDefault="00EE0643" w:rsidP="002A7CE6">
            <w:pPr>
              <w:spacing w:before="40" w:after="40"/>
              <w:rPr>
                <w:rFonts w:cs="Calibri"/>
                <w:b/>
              </w:rPr>
            </w:pPr>
            <w:r w:rsidRPr="00BF2EF4">
              <w:rPr>
                <w:rFonts w:cs="Calibri"/>
                <w:b/>
              </w:rPr>
              <w:t>Status Note</w:t>
            </w:r>
          </w:p>
        </w:tc>
      </w:tr>
      <w:tr w:rsidR="006F1585" w:rsidRPr="00DB18B3" w14:paraId="13D8E0AF" w14:textId="77777777" w:rsidTr="00292393">
        <w:tc>
          <w:tcPr>
            <w:tcW w:w="1353" w:type="dxa"/>
          </w:tcPr>
          <w:p w14:paraId="2A90317F" w14:textId="1038C9C9" w:rsidR="006F1585" w:rsidRPr="00BF2EF4" w:rsidRDefault="006F1585" w:rsidP="006F1585">
            <w:pPr>
              <w:spacing w:before="40" w:after="40"/>
              <w:jc w:val="center"/>
              <w:rPr>
                <w:rFonts w:cs="Calibri"/>
              </w:rPr>
            </w:pPr>
            <w:r>
              <w:rPr>
                <w:rFonts w:cs="Calibri"/>
              </w:rPr>
              <w:t>1</w:t>
            </w:r>
          </w:p>
        </w:tc>
        <w:tc>
          <w:tcPr>
            <w:tcW w:w="1278" w:type="dxa"/>
          </w:tcPr>
          <w:p w14:paraId="78C79127" w14:textId="7E0E4A4A" w:rsidR="006F1585" w:rsidRPr="00BF2EF4" w:rsidRDefault="006A69C2" w:rsidP="006F1585">
            <w:pPr>
              <w:spacing w:before="40" w:after="40"/>
              <w:jc w:val="center"/>
              <w:rPr>
                <w:rFonts w:cs="Calibri"/>
              </w:rPr>
            </w:pPr>
            <w:r>
              <w:rPr>
                <w:rFonts w:cs="Calibri"/>
              </w:rPr>
              <w:t>05.06.2023</w:t>
            </w:r>
          </w:p>
        </w:tc>
        <w:tc>
          <w:tcPr>
            <w:tcW w:w="6295" w:type="dxa"/>
          </w:tcPr>
          <w:p w14:paraId="1B1871F7" w14:textId="60D42D64" w:rsidR="006F1585" w:rsidRPr="00BF2EF4" w:rsidRDefault="006A69C2" w:rsidP="006F1585">
            <w:pPr>
              <w:spacing w:before="40" w:after="40"/>
              <w:rPr>
                <w:rFonts w:cs="Calibri"/>
              </w:rPr>
            </w:pPr>
            <w:r>
              <w:rPr>
                <w:rFonts w:cs="Calibri"/>
              </w:rPr>
              <w:t>HR Template</w:t>
            </w:r>
          </w:p>
        </w:tc>
      </w:tr>
      <w:tr w:rsidR="00AB4F32" w:rsidRPr="00DB18B3" w14:paraId="7B1D982F" w14:textId="77777777" w:rsidTr="00292393">
        <w:tc>
          <w:tcPr>
            <w:tcW w:w="1353" w:type="dxa"/>
          </w:tcPr>
          <w:p w14:paraId="023045C9" w14:textId="541F8F1D" w:rsidR="00AB4F32" w:rsidRPr="00AB4F32" w:rsidRDefault="00AB4F32" w:rsidP="00AB4F32">
            <w:pPr>
              <w:spacing w:before="40" w:after="40"/>
              <w:jc w:val="center"/>
              <w:rPr>
                <w:rFonts w:cs="Calibri"/>
                <w:highlight w:val="green"/>
              </w:rPr>
            </w:pPr>
            <w:r w:rsidRPr="00AB4F32">
              <w:rPr>
                <w:rFonts w:cs="Calibri"/>
                <w:highlight w:val="green"/>
              </w:rPr>
              <w:t>1.2</w:t>
            </w:r>
          </w:p>
        </w:tc>
        <w:tc>
          <w:tcPr>
            <w:tcW w:w="1278" w:type="dxa"/>
          </w:tcPr>
          <w:p w14:paraId="10F1E9F1" w14:textId="717EB070" w:rsidR="00AB4F32" w:rsidRPr="00AB4F32" w:rsidRDefault="00AB4F32" w:rsidP="00AB4F32">
            <w:pPr>
              <w:spacing w:before="40" w:after="40"/>
              <w:jc w:val="center"/>
              <w:rPr>
                <w:rFonts w:cs="Calibri"/>
                <w:highlight w:val="green"/>
              </w:rPr>
            </w:pPr>
            <w:r w:rsidRPr="00AB4F32">
              <w:rPr>
                <w:rFonts w:cs="Calibri"/>
                <w:highlight w:val="green"/>
              </w:rPr>
              <w:t>06/04/26</w:t>
            </w:r>
          </w:p>
        </w:tc>
        <w:tc>
          <w:tcPr>
            <w:tcW w:w="6295" w:type="dxa"/>
          </w:tcPr>
          <w:p w14:paraId="2BA885B1" w14:textId="2443B5D2" w:rsidR="00AB4F32" w:rsidRPr="00AB4F32" w:rsidRDefault="00AB4F32" w:rsidP="00AB4F32">
            <w:pPr>
              <w:spacing w:before="40" w:after="40"/>
              <w:rPr>
                <w:rFonts w:cs="Calibri"/>
                <w:highlight w:val="green"/>
              </w:rPr>
            </w:pPr>
            <w:r w:rsidRPr="00AB4F32">
              <w:rPr>
                <w:rFonts w:cs="Calibri"/>
                <w:highlight w:val="green"/>
              </w:rPr>
              <w:t>Employment law change – sexual harassment whistleblowing protections</w:t>
            </w:r>
          </w:p>
        </w:tc>
      </w:tr>
      <w:tr w:rsidR="00AB4F32" w:rsidRPr="00DB18B3" w14:paraId="7B65AD1A" w14:textId="77777777" w:rsidTr="00292393">
        <w:tc>
          <w:tcPr>
            <w:tcW w:w="1353" w:type="dxa"/>
          </w:tcPr>
          <w:p w14:paraId="39644ED1" w14:textId="77777777" w:rsidR="00AB4F32" w:rsidRPr="00BF2EF4" w:rsidRDefault="00AB4F32" w:rsidP="00AB4F32">
            <w:pPr>
              <w:spacing w:before="40" w:after="40"/>
              <w:jc w:val="center"/>
              <w:rPr>
                <w:rFonts w:cs="Calibri"/>
              </w:rPr>
            </w:pPr>
          </w:p>
        </w:tc>
        <w:tc>
          <w:tcPr>
            <w:tcW w:w="1278" w:type="dxa"/>
          </w:tcPr>
          <w:p w14:paraId="5830789F" w14:textId="77777777" w:rsidR="00AB4F32" w:rsidRPr="00BF2EF4" w:rsidRDefault="00AB4F32" w:rsidP="00AB4F32">
            <w:pPr>
              <w:spacing w:before="40" w:after="40"/>
              <w:jc w:val="center"/>
              <w:rPr>
                <w:rFonts w:cs="Calibri"/>
              </w:rPr>
            </w:pPr>
          </w:p>
        </w:tc>
        <w:tc>
          <w:tcPr>
            <w:tcW w:w="6295" w:type="dxa"/>
          </w:tcPr>
          <w:p w14:paraId="56905DA7" w14:textId="77777777" w:rsidR="00AB4F32" w:rsidRPr="00BF2EF4" w:rsidRDefault="00AB4F32" w:rsidP="00AB4F32">
            <w:pPr>
              <w:spacing w:before="40" w:after="40"/>
              <w:rPr>
                <w:rFonts w:cs="Calibri"/>
              </w:rPr>
            </w:pPr>
          </w:p>
        </w:tc>
      </w:tr>
      <w:tr w:rsidR="00AB4F32" w:rsidRPr="00DB18B3" w14:paraId="017C357A" w14:textId="77777777" w:rsidTr="00292393">
        <w:tc>
          <w:tcPr>
            <w:tcW w:w="1353" w:type="dxa"/>
          </w:tcPr>
          <w:p w14:paraId="06AEABB2" w14:textId="77777777" w:rsidR="00AB4F32" w:rsidRPr="00BF2EF4" w:rsidRDefault="00AB4F32" w:rsidP="00AB4F32">
            <w:pPr>
              <w:spacing w:before="40" w:after="40"/>
              <w:jc w:val="center"/>
              <w:rPr>
                <w:rFonts w:cs="Calibri"/>
              </w:rPr>
            </w:pPr>
          </w:p>
        </w:tc>
        <w:tc>
          <w:tcPr>
            <w:tcW w:w="1278" w:type="dxa"/>
          </w:tcPr>
          <w:p w14:paraId="75FD78D8" w14:textId="77777777" w:rsidR="00AB4F32" w:rsidRPr="00BF2EF4" w:rsidRDefault="00AB4F32" w:rsidP="00AB4F32">
            <w:pPr>
              <w:spacing w:before="40" w:after="40"/>
              <w:jc w:val="center"/>
              <w:rPr>
                <w:rFonts w:cs="Calibri"/>
              </w:rPr>
            </w:pPr>
          </w:p>
        </w:tc>
        <w:tc>
          <w:tcPr>
            <w:tcW w:w="6295" w:type="dxa"/>
          </w:tcPr>
          <w:p w14:paraId="1811E49E" w14:textId="77777777" w:rsidR="00AB4F32" w:rsidRPr="00BF2EF4" w:rsidRDefault="00AB4F32" w:rsidP="00AB4F32">
            <w:pPr>
              <w:spacing w:before="40" w:after="40"/>
              <w:rPr>
                <w:rFonts w:cs="Calibri"/>
              </w:rPr>
            </w:pPr>
          </w:p>
        </w:tc>
      </w:tr>
      <w:tr w:rsidR="00AB4F32" w:rsidRPr="00DB18B3" w14:paraId="12C190B7" w14:textId="77777777" w:rsidTr="00292393">
        <w:tc>
          <w:tcPr>
            <w:tcW w:w="1353" w:type="dxa"/>
          </w:tcPr>
          <w:p w14:paraId="151C4604" w14:textId="77777777" w:rsidR="00AB4F32" w:rsidRPr="00BF2EF4" w:rsidRDefault="00AB4F32" w:rsidP="00AB4F32">
            <w:pPr>
              <w:spacing w:before="40" w:after="40"/>
              <w:jc w:val="center"/>
              <w:rPr>
                <w:rFonts w:cs="Calibri"/>
              </w:rPr>
            </w:pPr>
          </w:p>
        </w:tc>
        <w:tc>
          <w:tcPr>
            <w:tcW w:w="1278" w:type="dxa"/>
          </w:tcPr>
          <w:p w14:paraId="78B6BFDF" w14:textId="77777777" w:rsidR="00AB4F32" w:rsidRPr="00BF2EF4" w:rsidRDefault="00AB4F32" w:rsidP="00AB4F32">
            <w:pPr>
              <w:spacing w:before="40" w:after="40"/>
              <w:jc w:val="center"/>
              <w:rPr>
                <w:rFonts w:cs="Calibri"/>
              </w:rPr>
            </w:pPr>
          </w:p>
        </w:tc>
        <w:tc>
          <w:tcPr>
            <w:tcW w:w="6295" w:type="dxa"/>
          </w:tcPr>
          <w:p w14:paraId="15EBD11A" w14:textId="77777777" w:rsidR="00AB4F32" w:rsidRPr="00BF2EF4" w:rsidRDefault="00AB4F32" w:rsidP="00AB4F32">
            <w:pPr>
              <w:spacing w:before="40" w:after="40"/>
              <w:rPr>
                <w:rFonts w:cs="Calibri"/>
              </w:rPr>
            </w:pPr>
          </w:p>
        </w:tc>
      </w:tr>
      <w:tr w:rsidR="00AB4F32" w:rsidRPr="00DB18B3" w14:paraId="5B2DBD81" w14:textId="77777777" w:rsidTr="00292393">
        <w:tc>
          <w:tcPr>
            <w:tcW w:w="1353" w:type="dxa"/>
          </w:tcPr>
          <w:p w14:paraId="26D96DC9" w14:textId="77777777" w:rsidR="00AB4F32" w:rsidRPr="00BF2EF4" w:rsidRDefault="00AB4F32" w:rsidP="00AB4F32">
            <w:pPr>
              <w:spacing w:before="40" w:after="40"/>
              <w:jc w:val="center"/>
              <w:rPr>
                <w:rFonts w:cs="Calibri"/>
              </w:rPr>
            </w:pPr>
          </w:p>
        </w:tc>
        <w:tc>
          <w:tcPr>
            <w:tcW w:w="1278" w:type="dxa"/>
          </w:tcPr>
          <w:p w14:paraId="7E557F6C" w14:textId="77777777" w:rsidR="00AB4F32" w:rsidRPr="00BF2EF4" w:rsidRDefault="00AB4F32" w:rsidP="00AB4F32">
            <w:pPr>
              <w:spacing w:before="40" w:after="40"/>
              <w:jc w:val="center"/>
              <w:rPr>
                <w:rFonts w:cs="Calibri"/>
              </w:rPr>
            </w:pPr>
          </w:p>
        </w:tc>
        <w:tc>
          <w:tcPr>
            <w:tcW w:w="6295" w:type="dxa"/>
          </w:tcPr>
          <w:p w14:paraId="31065669" w14:textId="77777777" w:rsidR="00AB4F32" w:rsidRPr="00BF2EF4" w:rsidRDefault="00AB4F32" w:rsidP="00AB4F32">
            <w:pPr>
              <w:spacing w:before="40" w:after="40"/>
              <w:rPr>
                <w:rFonts w:cs="Calibri"/>
              </w:rPr>
            </w:pPr>
          </w:p>
        </w:tc>
      </w:tr>
    </w:tbl>
    <w:p w14:paraId="04CBE305" w14:textId="77777777" w:rsidR="00EE0643" w:rsidRDefault="00EE0643" w:rsidP="00EE0643">
      <w:pPr>
        <w:ind w:firstLine="19"/>
        <w:rPr>
          <w:rFonts w:cs="Calibri"/>
          <w:sz w:val="56"/>
          <w:szCs w:val="56"/>
        </w:rPr>
      </w:pPr>
    </w:p>
    <w:p w14:paraId="1CD0F289" w14:textId="77777777" w:rsidR="00EE0643" w:rsidRDefault="00EE0643" w:rsidP="00EE0643">
      <w:pPr>
        <w:ind w:firstLine="19"/>
        <w:rPr>
          <w:rFonts w:cs="Calibri"/>
          <w:sz w:val="56"/>
          <w:szCs w:val="56"/>
        </w:rPr>
      </w:pPr>
    </w:p>
    <w:p w14:paraId="16F542B2" w14:textId="146083BC" w:rsidR="00EE0643" w:rsidRDefault="00EE0643" w:rsidP="00EE0643">
      <w:pPr>
        <w:ind w:firstLine="19"/>
        <w:rPr>
          <w:rFonts w:cs="Calibri"/>
          <w:sz w:val="56"/>
          <w:szCs w:val="56"/>
        </w:rPr>
      </w:pPr>
    </w:p>
    <w:p w14:paraId="2E0F40B1" w14:textId="77777777" w:rsidR="00520472" w:rsidRDefault="00520472" w:rsidP="00EE0643">
      <w:pPr>
        <w:ind w:firstLine="19"/>
        <w:rPr>
          <w:rFonts w:asciiTheme="majorHAnsi" w:eastAsia="Times New Roman" w:hAnsiTheme="majorHAnsi" w:cstheme="majorHAnsi"/>
          <w:b/>
          <w:bCs/>
        </w:rPr>
      </w:pPr>
      <w:bookmarkStart w:id="0" w:name="_Hlk90987879"/>
    </w:p>
    <w:p w14:paraId="7C0D3FEE" w14:textId="77777777" w:rsidR="00520472" w:rsidRDefault="00520472" w:rsidP="00EE0643">
      <w:pPr>
        <w:ind w:firstLine="19"/>
        <w:rPr>
          <w:rFonts w:asciiTheme="majorHAnsi" w:eastAsia="Times New Roman" w:hAnsiTheme="majorHAnsi" w:cstheme="majorHAnsi"/>
          <w:b/>
          <w:bCs/>
        </w:rPr>
      </w:pPr>
    </w:p>
    <w:bookmarkEnd w:id="0"/>
    <w:p w14:paraId="5CBEB025" w14:textId="77777777" w:rsidR="00EE0643" w:rsidRDefault="00EE0643" w:rsidP="00EE0643">
      <w:pPr>
        <w:pStyle w:val="Mainhead"/>
        <w:spacing w:before="240" w:after="240"/>
        <w:ind w:left="357" w:hanging="357"/>
      </w:pPr>
      <w:r>
        <w:t>Introduction</w:t>
      </w:r>
    </w:p>
    <w:p w14:paraId="58A9618A" w14:textId="4BA4B627" w:rsidR="00F02DE7" w:rsidRPr="00F02DE7" w:rsidRDefault="00F02DE7" w:rsidP="00F02DE7">
      <w:pPr>
        <w:pStyle w:val="Paragraph"/>
      </w:pPr>
      <w:r w:rsidRPr="00F02DE7">
        <w:t xml:space="preserve">We are committed to conducting the business of the </w:t>
      </w:r>
      <w:r w:rsidR="006A69C2">
        <w:t xml:space="preserve">Parish </w:t>
      </w:r>
      <w:r w:rsidRPr="00F02DE7">
        <w:t>with honesty and integrity, and we expect all staff to maintain high standards.  However, all organisations face the risk of things going wrong from time to time, or of unknowingly harbouring illegal or unethical conduct.  A culture of openness and accountability is essential in order to prevent such situations occurring or to address them when they do occur.</w:t>
      </w:r>
    </w:p>
    <w:p w14:paraId="7CECA91F" w14:textId="77777777" w:rsidR="00F02DE7" w:rsidRDefault="00F02DE7" w:rsidP="00F02DE7">
      <w:pPr>
        <w:pStyle w:val="Paragraph"/>
        <w:rPr>
          <w:bCs/>
        </w:rPr>
      </w:pPr>
      <w:r w:rsidRPr="00F02DE7">
        <w:rPr>
          <w:bCs/>
        </w:rPr>
        <w:t xml:space="preserve">Under certain circumstances, employees have legal protection if they make disclosures about an organisation for which they work.  The Public Interest Disclosure Act 1998 is designed to protect employees from suffering any detriment at work as a result of making a disclosure (commonly called ‘whistle blowing’).   </w:t>
      </w:r>
    </w:p>
    <w:p w14:paraId="4BB7E90A" w14:textId="77777777" w:rsidR="00AB4F32" w:rsidRPr="00AB4F32" w:rsidRDefault="00AB4F32" w:rsidP="00AB4F32">
      <w:pPr>
        <w:pStyle w:val="Paragraph"/>
        <w:rPr>
          <w:bCs/>
          <w:highlight w:val="green"/>
        </w:rPr>
      </w:pPr>
      <w:commentRangeStart w:id="1"/>
      <w:r w:rsidRPr="00AB4F32">
        <w:rPr>
          <w:bCs/>
          <w:highlight w:val="green"/>
        </w:rPr>
        <w:t>Where</w:t>
      </w:r>
      <w:commentRangeEnd w:id="1"/>
      <w:r>
        <w:rPr>
          <w:rStyle w:val="CommentReference"/>
          <w:rFonts w:cs="Times New Roman"/>
        </w:rPr>
        <w:commentReference w:id="1"/>
      </w:r>
      <w:r w:rsidRPr="00AB4F32">
        <w:rPr>
          <w:bCs/>
          <w:highlight w:val="green"/>
        </w:rPr>
        <w:t xml:space="preserve"> allegations that sexual harassment has or is likely to occur, AND it is in the public interest, these disclosures qualify as a “protected disclosure”, therefore individuals making these allegations will receive whistleblowing protections against dismissal or detriment.</w:t>
      </w:r>
    </w:p>
    <w:p w14:paraId="725C62D7" w14:textId="77777777" w:rsidR="00F02DE7" w:rsidRPr="00F02DE7" w:rsidRDefault="00F02DE7" w:rsidP="00F02DE7">
      <w:pPr>
        <w:pStyle w:val="Paragraph"/>
        <w:rPr>
          <w:bCs/>
        </w:rPr>
      </w:pPr>
      <w:r w:rsidRPr="00F02DE7">
        <w:rPr>
          <w:bCs/>
        </w:rPr>
        <w:t>The aims of this policy are:</w:t>
      </w:r>
    </w:p>
    <w:p w14:paraId="4BBC2969" w14:textId="77777777" w:rsidR="00F02DE7" w:rsidRPr="00F02DE7" w:rsidRDefault="00F02DE7" w:rsidP="00F02DE7">
      <w:pPr>
        <w:pStyle w:val="SubParagraph"/>
        <w:ind w:left="1701" w:hanging="708"/>
      </w:pPr>
      <w:r w:rsidRPr="00F02DE7">
        <w:t>To encourage staff to report suspected wrongdoing as soon as possible, in the knowledge that their concerns will be taken seriously and investigated as appropriate, and that their confidentiality will be respected,</w:t>
      </w:r>
    </w:p>
    <w:p w14:paraId="2CCD6F09" w14:textId="77777777" w:rsidR="00F02DE7" w:rsidRPr="00F02DE7" w:rsidRDefault="00F02DE7" w:rsidP="00F02DE7">
      <w:pPr>
        <w:pStyle w:val="SubParagraph"/>
        <w:ind w:left="1701" w:hanging="708"/>
      </w:pPr>
      <w:r w:rsidRPr="00F02DE7">
        <w:t>To provide staff with guidance as to how to raise those concerns,</w:t>
      </w:r>
    </w:p>
    <w:p w14:paraId="33781871" w14:textId="77777777" w:rsidR="00F02DE7" w:rsidRPr="00F02DE7" w:rsidRDefault="00F02DE7" w:rsidP="00F02DE7">
      <w:pPr>
        <w:pStyle w:val="SubParagraph"/>
        <w:ind w:left="1701" w:hanging="708"/>
      </w:pPr>
      <w:r w:rsidRPr="00F02DE7">
        <w:t>To reassure staff that they should be able to raise genuine concerns in good faith without fear of reprisals, even if they turn out to be mistaken.</w:t>
      </w:r>
    </w:p>
    <w:p w14:paraId="3DBC407A" w14:textId="50A2D179" w:rsidR="00EE0643" w:rsidRDefault="00EE0643" w:rsidP="00EE0643">
      <w:pPr>
        <w:pStyle w:val="Mainhead"/>
        <w:spacing w:before="360" w:after="240"/>
        <w:ind w:left="357" w:hanging="357"/>
        <w:rPr>
          <w:lang w:val="en-US"/>
        </w:rPr>
      </w:pPr>
      <w:r w:rsidRPr="00820EE1">
        <w:rPr>
          <w:lang w:val="en-US"/>
        </w:rPr>
        <w:t>Policy</w:t>
      </w:r>
    </w:p>
    <w:p w14:paraId="2B3DF3A5" w14:textId="77777777" w:rsidR="00F02DE7" w:rsidRPr="00F02DE7" w:rsidRDefault="00F02DE7" w:rsidP="00F02DE7">
      <w:pPr>
        <w:pStyle w:val="Paragraph"/>
        <w:rPr>
          <w:lang w:eastAsia="en-GB"/>
        </w:rPr>
      </w:pPr>
      <w:r w:rsidRPr="00F02DE7">
        <w:rPr>
          <w:lang w:eastAsia="en-GB"/>
        </w:rPr>
        <w:t xml:space="preserve">The qualifying circumstances are where the employee reasonably believes that the organisation or a person within the organisation commits, has committed or may in future commit, a ‘relevant failure’ in one or more of the following areas: </w:t>
      </w:r>
    </w:p>
    <w:p w14:paraId="02B8D17E" w14:textId="77777777" w:rsidR="00F02DE7" w:rsidRPr="00F02DE7" w:rsidRDefault="00F02DE7" w:rsidP="00F02DE7">
      <w:pPr>
        <w:pStyle w:val="SubParagraph"/>
        <w:ind w:left="1701" w:hanging="708"/>
        <w:rPr>
          <w:lang w:eastAsia="en-GB"/>
        </w:rPr>
      </w:pPr>
      <w:r w:rsidRPr="00F02DE7">
        <w:rPr>
          <w:lang w:eastAsia="en-GB"/>
        </w:rPr>
        <w:t>committing a criminal offence.</w:t>
      </w:r>
    </w:p>
    <w:p w14:paraId="07498C5E" w14:textId="77777777" w:rsidR="00F02DE7" w:rsidRPr="00F02DE7" w:rsidRDefault="00F02DE7" w:rsidP="00F02DE7">
      <w:pPr>
        <w:pStyle w:val="SubParagraph"/>
        <w:ind w:left="1701" w:hanging="708"/>
        <w:rPr>
          <w:lang w:eastAsia="en-GB"/>
        </w:rPr>
      </w:pPr>
      <w:r w:rsidRPr="00F02DE7">
        <w:rPr>
          <w:lang w:eastAsia="en-GB"/>
        </w:rPr>
        <w:t>failing to comply with a legal obligation.</w:t>
      </w:r>
    </w:p>
    <w:p w14:paraId="2B9AB177" w14:textId="77777777" w:rsidR="00F02DE7" w:rsidRPr="00F02DE7" w:rsidRDefault="00F02DE7" w:rsidP="00F02DE7">
      <w:pPr>
        <w:pStyle w:val="SubParagraph"/>
        <w:ind w:left="1701" w:hanging="708"/>
        <w:rPr>
          <w:lang w:eastAsia="en-GB"/>
        </w:rPr>
      </w:pPr>
      <w:r w:rsidRPr="00F02DE7">
        <w:rPr>
          <w:lang w:eastAsia="en-GB"/>
        </w:rPr>
        <w:t>a miscarriage of justice.</w:t>
      </w:r>
    </w:p>
    <w:p w14:paraId="6896FF5B" w14:textId="77777777" w:rsidR="00F02DE7" w:rsidRPr="00F02DE7" w:rsidRDefault="00F02DE7" w:rsidP="00F02DE7">
      <w:pPr>
        <w:pStyle w:val="SubParagraph"/>
        <w:ind w:left="1701" w:hanging="708"/>
        <w:rPr>
          <w:lang w:eastAsia="en-GB"/>
        </w:rPr>
      </w:pPr>
      <w:r w:rsidRPr="00F02DE7">
        <w:rPr>
          <w:lang w:eastAsia="en-GB"/>
        </w:rPr>
        <w:t>endangering the health and safety of an individual.</w:t>
      </w:r>
    </w:p>
    <w:p w14:paraId="03CF2E8D" w14:textId="77777777" w:rsidR="00F02DE7" w:rsidRPr="00F02DE7" w:rsidRDefault="00F02DE7" w:rsidP="00F02DE7">
      <w:pPr>
        <w:pStyle w:val="SubParagraph"/>
        <w:ind w:left="1701" w:hanging="708"/>
        <w:rPr>
          <w:lang w:eastAsia="en-GB"/>
        </w:rPr>
      </w:pPr>
      <w:r w:rsidRPr="00F02DE7">
        <w:rPr>
          <w:lang w:eastAsia="en-GB"/>
        </w:rPr>
        <w:t>environmental damage.</w:t>
      </w:r>
    </w:p>
    <w:p w14:paraId="3E3982FB" w14:textId="77777777" w:rsidR="00F02DE7" w:rsidRPr="00F02DE7" w:rsidRDefault="00F02DE7" w:rsidP="00F02DE7">
      <w:pPr>
        <w:pStyle w:val="SubParagraph"/>
        <w:ind w:left="1701" w:hanging="708"/>
        <w:rPr>
          <w:lang w:eastAsia="en-GB"/>
        </w:rPr>
      </w:pPr>
      <w:r w:rsidRPr="00F02DE7">
        <w:rPr>
          <w:lang w:eastAsia="en-GB"/>
        </w:rPr>
        <w:t>concealing any information relating to the above.</w:t>
      </w:r>
    </w:p>
    <w:p w14:paraId="51CC1584" w14:textId="07E86A95" w:rsidR="00EE0643" w:rsidRPr="006164E4" w:rsidRDefault="00F02DE7" w:rsidP="00EE0643">
      <w:pPr>
        <w:pStyle w:val="Mainhead"/>
        <w:spacing w:before="360" w:after="240"/>
        <w:ind w:left="357" w:hanging="357"/>
        <w:rPr>
          <w:lang w:val="en-US"/>
        </w:rPr>
      </w:pPr>
      <w:r>
        <w:rPr>
          <w:lang w:val="en-US"/>
        </w:rPr>
        <w:t>Procedure</w:t>
      </w:r>
    </w:p>
    <w:p w14:paraId="1EF26155" w14:textId="6DC4A4AD" w:rsidR="00F02DE7" w:rsidRDefault="00F02DE7" w:rsidP="00F02DE7">
      <w:pPr>
        <w:pStyle w:val="Paragraph"/>
        <w:rPr>
          <w:lang w:eastAsia="en-GB"/>
        </w:rPr>
      </w:pPr>
      <w:r w:rsidRPr="00D91C62">
        <w:rPr>
          <w:lang w:eastAsia="en-GB"/>
        </w:rPr>
        <w:t>In the first instance concerns should</w:t>
      </w:r>
      <w:r w:rsidRPr="009F2D52">
        <w:rPr>
          <w:lang w:eastAsia="en-GB"/>
        </w:rPr>
        <w:t xml:space="preserve"> be reported in complete confidence to</w:t>
      </w:r>
      <w:r w:rsidRPr="007B6623">
        <w:rPr>
          <w:lang w:eastAsia="en-GB"/>
        </w:rPr>
        <w:t xml:space="preserve"> the </w:t>
      </w:r>
      <w:r w:rsidR="006A69C2" w:rsidRPr="006A69C2">
        <w:rPr>
          <w:highlight w:val="yellow"/>
          <w:lang w:eastAsia="en-GB"/>
        </w:rPr>
        <w:t>PCC/TRUSTEES/BOARD/CLERGY</w:t>
      </w:r>
      <w:r w:rsidRPr="00167C7F">
        <w:rPr>
          <w:lang w:eastAsia="en-GB"/>
        </w:rPr>
        <w:t>.</w:t>
      </w:r>
    </w:p>
    <w:p w14:paraId="5B52BAA5" w14:textId="4258D7B9" w:rsidR="00F02DE7" w:rsidRDefault="00F02DE7" w:rsidP="00F02DE7">
      <w:pPr>
        <w:pStyle w:val="Paragraph"/>
        <w:rPr>
          <w:lang w:eastAsia="en-GB"/>
        </w:rPr>
      </w:pPr>
      <w:r w:rsidRPr="00433E1A">
        <w:rPr>
          <w:lang w:eastAsia="en-GB"/>
        </w:rPr>
        <w:t>The concern will be investigated and a response provided within 7 working days.</w:t>
      </w:r>
      <w:r w:rsidR="00DB67B3">
        <w:rPr>
          <w:lang w:eastAsia="en-GB"/>
        </w:rPr>
        <w:t xml:space="preserve"> In some circumstances whether due to the nature of the concern raised or nature of the </w:t>
      </w:r>
      <w:r w:rsidR="00DB67B3">
        <w:rPr>
          <w:lang w:eastAsia="en-GB"/>
        </w:rPr>
        <w:lastRenderedPageBreak/>
        <w:t>investigation required, it may not be possible give a complete answer within 7 days in which case an interim response will be provided giving an indication as to when a full response will be available</w:t>
      </w:r>
    </w:p>
    <w:p w14:paraId="76A47E50" w14:textId="280F8880" w:rsidR="00E8315D" w:rsidRDefault="00F02DE7" w:rsidP="00F02DE7">
      <w:pPr>
        <w:pStyle w:val="Paragraph"/>
      </w:pPr>
      <w:bookmarkStart w:id="2" w:name="_Hlk136868849"/>
      <w:r w:rsidRPr="00B23447">
        <w:rPr>
          <w:lang w:eastAsia="en-GB"/>
        </w:rPr>
        <w:t xml:space="preserve">If no satisfactory response is provided within this time, or if the matter relates directly to </w:t>
      </w:r>
      <w:r w:rsidRPr="00934502">
        <w:rPr>
          <w:lang w:eastAsia="en-GB"/>
        </w:rPr>
        <w:t>any of these members of staff,  the matter may be raised with</w:t>
      </w:r>
      <w:bookmarkEnd w:id="2"/>
      <w:r w:rsidR="00E8315D">
        <w:rPr>
          <w:lang w:eastAsia="en-GB"/>
        </w:rPr>
        <w:t xml:space="preserve"> a  prescribed </w:t>
      </w:r>
      <w:proofErr w:type="spellStart"/>
      <w:r w:rsidR="00E8315D">
        <w:rPr>
          <w:lang w:eastAsia="en-GB"/>
        </w:rPr>
        <w:t>bodie</w:t>
      </w:r>
      <w:proofErr w:type="spellEnd"/>
      <w:r w:rsidR="00E8315D">
        <w:rPr>
          <w:lang w:eastAsia="en-GB"/>
        </w:rPr>
        <w:t xml:space="preserve"> detailed in this link through the government website: </w:t>
      </w:r>
      <w:hyperlink r:id="rId14" w:history="1">
        <w:r w:rsidR="00E8315D" w:rsidRPr="00A60306">
          <w:rPr>
            <w:rStyle w:val="Hyperlink"/>
            <w:lang w:eastAsia="en-GB"/>
          </w:rPr>
          <w:t>https://www.gov.uk/government/publications/blowing-the-whistle-list-of-prescribed-people-and-bodies--2</w:t>
        </w:r>
      </w:hyperlink>
      <w:r w:rsidR="00E8315D">
        <w:rPr>
          <w:lang w:eastAsia="en-GB"/>
        </w:rPr>
        <w:t xml:space="preserve">. </w:t>
      </w:r>
    </w:p>
    <w:p w14:paraId="2A8A824C" w14:textId="76355255" w:rsidR="00F02DE7" w:rsidRDefault="00F02DE7" w:rsidP="00F02DE7">
      <w:pPr>
        <w:pStyle w:val="Paragraph"/>
      </w:pPr>
      <w:r w:rsidRPr="00EF70B8">
        <w:t xml:space="preserve">Employees have the right to raise concerns directly to an appropriate external organisation or </w:t>
      </w:r>
      <w:proofErr w:type="gramStart"/>
      <w:r w:rsidRPr="00EF70B8">
        <w:t>authority</w:t>
      </w:r>
      <w:proofErr w:type="gramEnd"/>
      <w:r w:rsidRPr="00EF70B8">
        <w:t xml:space="preserve"> but it is anticipated that steps </w:t>
      </w:r>
      <w:r>
        <w:t>3</w:t>
      </w:r>
      <w:r w:rsidRPr="00EF70B8">
        <w:t xml:space="preserve">.1 – </w:t>
      </w:r>
      <w:r>
        <w:t>3.5</w:t>
      </w:r>
      <w:r w:rsidRPr="00EF70B8">
        <w:t xml:space="preserve"> above will be followed before doing this. The aim of this policy is to provide an internal mechanism for reporting, investigating and remedying any wrongdoing in the workplace. In most cases you should not find it necessary to alert anyone externally and indeed it would be a most exceptional case where this would be necessary or justified.</w:t>
      </w:r>
    </w:p>
    <w:p w14:paraId="2FA94B7F" w14:textId="77777777" w:rsidR="00F02DE7" w:rsidRPr="00047225" w:rsidRDefault="00F02DE7" w:rsidP="00F02DE7">
      <w:pPr>
        <w:pStyle w:val="Paragraph"/>
        <w:rPr>
          <w:rFonts w:cs="Arial"/>
          <w:bCs/>
          <w:lang w:eastAsia="en-GB"/>
        </w:rPr>
      </w:pPr>
      <w:r w:rsidRPr="00EF70B8">
        <w:t>The law recognises that in some circumstances it may be appropriate for you to report your concerns to an external body such as a regulator. We strongly encourage you to seek advice before reporting a concern to anyone external. Public Concern at Work operates a confidential whistleblowing advice line (telephone number 0207 404 6609) for employees who are unsure whether or how to raise a public interest concern. If you do call this line, you should ensure that you have a copy of this policy with you at the time.</w:t>
      </w:r>
    </w:p>
    <w:p w14:paraId="796031FA" w14:textId="21BA709D" w:rsidR="00EE0643" w:rsidRPr="006164E4" w:rsidRDefault="00F02DE7" w:rsidP="00EE0643">
      <w:pPr>
        <w:pStyle w:val="Mainhead"/>
        <w:spacing w:before="360" w:after="240"/>
        <w:ind w:left="357" w:hanging="357"/>
        <w:rPr>
          <w:lang w:val="en-US"/>
        </w:rPr>
      </w:pPr>
      <w:r>
        <w:rPr>
          <w:lang w:val="en-US"/>
        </w:rPr>
        <w:t>General Notes</w:t>
      </w:r>
    </w:p>
    <w:p w14:paraId="7E9D0C8C" w14:textId="40FB7A50" w:rsidR="00F02DE7" w:rsidRPr="00F02DE7" w:rsidRDefault="00F02DE7" w:rsidP="00F02DE7">
      <w:pPr>
        <w:pStyle w:val="Paragraph"/>
        <w:ind w:left="993" w:hanging="426"/>
        <w:jc w:val="both"/>
        <w:rPr>
          <w:rFonts w:asciiTheme="minorHAnsi" w:hAnsiTheme="minorHAnsi" w:cstheme="minorHAnsi"/>
          <w:szCs w:val="24"/>
          <w:lang w:eastAsia="en-GB"/>
        </w:rPr>
      </w:pPr>
      <w:r w:rsidRPr="00F02DE7">
        <w:rPr>
          <w:rFonts w:asciiTheme="minorHAnsi" w:hAnsiTheme="minorHAnsi" w:cstheme="minorHAnsi"/>
          <w:lang w:eastAsia="en-GB"/>
        </w:rPr>
        <w:t xml:space="preserve">Employees are encouraged to use the procedure if they are concerned </w:t>
      </w:r>
      <w:r w:rsidRPr="00F02DE7">
        <w:rPr>
          <w:rFonts w:asciiTheme="minorHAnsi" w:hAnsiTheme="minorHAnsi" w:cstheme="minorHAnsi"/>
          <w:szCs w:val="24"/>
          <w:lang w:eastAsia="en-GB"/>
        </w:rPr>
        <w:t xml:space="preserve">about any </w:t>
      </w:r>
      <w:r w:rsidR="009916BC" w:rsidRPr="00F02DE7">
        <w:rPr>
          <w:rFonts w:asciiTheme="minorHAnsi" w:hAnsiTheme="minorHAnsi" w:cstheme="minorHAnsi"/>
          <w:szCs w:val="24"/>
          <w:lang w:eastAsia="en-GB"/>
        </w:rPr>
        <w:t>wrongdoing</w:t>
      </w:r>
      <w:r w:rsidRPr="00F02DE7">
        <w:rPr>
          <w:rFonts w:asciiTheme="minorHAnsi" w:hAnsiTheme="minorHAnsi" w:cstheme="minorHAnsi"/>
          <w:szCs w:val="24"/>
          <w:lang w:eastAsia="en-GB"/>
        </w:rPr>
        <w:t xml:space="preserve"> at work.  Misuse of the procedure (e.g. for personal or malicious reasons) will be investigated and dealt with under the Company’s disciplinary procedure.</w:t>
      </w:r>
    </w:p>
    <w:p w14:paraId="526360A8" w14:textId="17D27D0B" w:rsidR="00F02DE7" w:rsidRPr="00F02DE7" w:rsidRDefault="00F02DE7" w:rsidP="00F02DE7">
      <w:pPr>
        <w:pStyle w:val="Paragraph"/>
        <w:rPr>
          <w:rFonts w:asciiTheme="minorHAnsi" w:hAnsiTheme="minorHAnsi" w:cstheme="minorHAnsi"/>
          <w:bCs/>
          <w:lang w:eastAsia="en-GB"/>
        </w:rPr>
      </w:pPr>
      <w:r w:rsidRPr="00F02DE7">
        <w:rPr>
          <w:rFonts w:asciiTheme="minorHAnsi" w:hAnsiTheme="minorHAnsi" w:cstheme="minorHAnsi"/>
          <w:lang w:eastAsia="en-GB"/>
        </w:rPr>
        <w:t>This policy should not be used for complaints relating to your own personal circumstances, such as the way you have been treated at work.  In those cases</w:t>
      </w:r>
      <w:r w:rsidR="00F73940">
        <w:rPr>
          <w:rFonts w:asciiTheme="minorHAnsi" w:hAnsiTheme="minorHAnsi" w:cstheme="minorHAnsi"/>
          <w:lang w:eastAsia="en-GB"/>
        </w:rPr>
        <w:t>,</w:t>
      </w:r>
      <w:r w:rsidRPr="00F02DE7">
        <w:rPr>
          <w:rFonts w:asciiTheme="minorHAnsi" w:hAnsiTheme="minorHAnsi" w:cstheme="minorHAnsi"/>
          <w:lang w:eastAsia="en-GB"/>
        </w:rPr>
        <w:t xml:space="preserve"> you should use </w:t>
      </w:r>
      <w:r w:rsidRPr="00F02DE7">
        <w:rPr>
          <w:rFonts w:asciiTheme="minorHAnsi" w:hAnsiTheme="minorHAnsi" w:cstheme="minorHAnsi"/>
          <w:bCs/>
          <w:lang w:eastAsia="en-GB"/>
        </w:rPr>
        <w:t>our Grievance Procedure (Appendix 5), Equal Opportunity or Positive Work Environment policies as appropriate. (Appendix 4).</w:t>
      </w:r>
    </w:p>
    <w:sectPr w:rsidR="00F02DE7" w:rsidRPr="00F02DE7" w:rsidSect="00EE0643">
      <w:pgSz w:w="11906" w:h="16838"/>
      <w:pgMar w:top="851" w:right="1440" w:bottom="1440" w:left="1440" w:header="1293"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Simone Smith" w:date="2026-01-22T13:43:00Z" w:initials="SS">
    <w:p w14:paraId="500D323B" w14:textId="77777777" w:rsidR="00AB4F32" w:rsidRDefault="00AB4F32" w:rsidP="00AB4F32">
      <w:pPr>
        <w:pStyle w:val="CommentText"/>
      </w:pPr>
      <w:r>
        <w:rPr>
          <w:rStyle w:val="CommentReference"/>
        </w:rPr>
        <w:annotationRef/>
      </w:r>
      <w:r>
        <w:t>Added April 2026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00D32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BC3DDEF" w16cex:dateUtc="2026-01-22T13: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00D323B" w16cid:durableId="1BC3DD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D625B" w14:textId="77777777" w:rsidR="00EE0643" w:rsidRDefault="00EE0643" w:rsidP="00EE0643">
      <w:pPr>
        <w:spacing w:before="0"/>
      </w:pPr>
      <w:r>
        <w:separator/>
      </w:r>
    </w:p>
  </w:endnote>
  <w:endnote w:type="continuationSeparator" w:id="0">
    <w:p w14:paraId="77739B41" w14:textId="77777777" w:rsidR="00EE0643" w:rsidRDefault="00EE0643" w:rsidP="00EE0643">
      <w:pPr>
        <w:spacing w:before="0"/>
      </w:pPr>
      <w:r>
        <w:continuationSeparator/>
      </w:r>
    </w:p>
  </w:endnote>
  <w:endnote w:type="continuationNotice" w:id="1">
    <w:p w14:paraId="179CE31C" w14:textId="77777777" w:rsidR="008C534A" w:rsidRDefault="008C534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2F4FE" w14:textId="77777777" w:rsidR="00EE0643" w:rsidRDefault="00EE0643" w:rsidP="00EE0643">
      <w:pPr>
        <w:spacing w:before="0"/>
      </w:pPr>
      <w:r>
        <w:separator/>
      </w:r>
    </w:p>
  </w:footnote>
  <w:footnote w:type="continuationSeparator" w:id="0">
    <w:p w14:paraId="3E36D1E9" w14:textId="77777777" w:rsidR="00EE0643" w:rsidRDefault="00EE0643" w:rsidP="00EE0643">
      <w:pPr>
        <w:spacing w:before="0"/>
      </w:pPr>
      <w:r>
        <w:continuationSeparator/>
      </w:r>
    </w:p>
  </w:footnote>
  <w:footnote w:type="continuationNotice" w:id="1">
    <w:p w14:paraId="5036D2C2" w14:textId="77777777" w:rsidR="008C534A" w:rsidRDefault="008C534A">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6532D"/>
    <w:multiLevelType w:val="hybridMultilevel"/>
    <w:tmpl w:val="3802327E"/>
    <w:lvl w:ilvl="0" w:tplc="0809001B">
      <w:start w:val="1"/>
      <w:numFmt w:val="lowerRoman"/>
      <w:lvlText w:val="%1."/>
      <w:lvlJc w:val="right"/>
      <w:pPr>
        <w:ind w:left="774" w:hanging="360"/>
      </w:pPr>
      <w:rPr>
        <w:rFonts w:hint="default"/>
      </w:rPr>
    </w:lvl>
    <w:lvl w:ilvl="1" w:tplc="FFFFFFFF">
      <w:numFmt w:val="bullet"/>
      <w:lvlText w:val="•"/>
      <w:lvlJc w:val="left"/>
      <w:pPr>
        <w:ind w:left="1494" w:hanging="360"/>
      </w:pPr>
      <w:rPr>
        <w:rFonts w:ascii="Calibri" w:eastAsia="Calibri" w:hAnsi="Calibri" w:cs="Calibri" w:hint="default"/>
      </w:rPr>
    </w:lvl>
    <w:lvl w:ilvl="2" w:tplc="FFFFFFFF" w:tentative="1">
      <w:start w:val="1"/>
      <w:numFmt w:val="bullet"/>
      <w:lvlText w:val=""/>
      <w:lvlJc w:val="left"/>
      <w:pPr>
        <w:ind w:left="2214" w:hanging="360"/>
      </w:pPr>
      <w:rPr>
        <w:rFonts w:ascii="Wingdings" w:hAnsi="Wingdings" w:hint="default"/>
      </w:rPr>
    </w:lvl>
    <w:lvl w:ilvl="3" w:tplc="FFFFFFFF" w:tentative="1">
      <w:start w:val="1"/>
      <w:numFmt w:val="bullet"/>
      <w:lvlText w:val=""/>
      <w:lvlJc w:val="left"/>
      <w:pPr>
        <w:ind w:left="2934" w:hanging="360"/>
      </w:pPr>
      <w:rPr>
        <w:rFonts w:ascii="Symbol" w:hAnsi="Symbol" w:hint="default"/>
      </w:rPr>
    </w:lvl>
    <w:lvl w:ilvl="4" w:tplc="FFFFFFFF" w:tentative="1">
      <w:start w:val="1"/>
      <w:numFmt w:val="bullet"/>
      <w:lvlText w:val="o"/>
      <w:lvlJc w:val="left"/>
      <w:pPr>
        <w:ind w:left="3654" w:hanging="360"/>
      </w:pPr>
      <w:rPr>
        <w:rFonts w:ascii="Courier New" w:hAnsi="Courier New" w:cs="Courier New" w:hint="default"/>
      </w:rPr>
    </w:lvl>
    <w:lvl w:ilvl="5" w:tplc="FFFFFFFF" w:tentative="1">
      <w:start w:val="1"/>
      <w:numFmt w:val="bullet"/>
      <w:lvlText w:val=""/>
      <w:lvlJc w:val="left"/>
      <w:pPr>
        <w:ind w:left="4374" w:hanging="360"/>
      </w:pPr>
      <w:rPr>
        <w:rFonts w:ascii="Wingdings" w:hAnsi="Wingdings" w:hint="default"/>
      </w:rPr>
    </w:lvl>
    <w:lvl w:ilvl="6" w:tplc="FFFFFFFF" w:tentative="1">
      <w:start w:val="1"/>
      <w:numFmt w:val="bullet"/>
      <w:lvlText w:val=""/>
      <w:lvlJc w:val="left"/>
      <w:pPr>
        <w:ind w:left="5094" w:hanging="360"/>
      </w:pPr>
      <w:rPr>
        <w:rFonts w:ascii="Symbol" w:hAnsi="Symbol" w:hint="default"/>
      </w:rPr>
    </w:lvl>
    <w:lvl w:ilvl="7" w:tplc="FFFFFFFF" w:tentative="1">
      <w:start w:val="1"/>
      <w:numFmt w:val="bullet"/>
      <w:lvlText w:val="o"/>
      <w:lvlJc w:val="left"/>
      <w:pPr>
        <w:ind w:left="5814" w:hanging="360"/>
      </w:pPr>
      <w:rPr>
        <w:rFonts w:ascii="Courier New" w:hAnsi="Courier New" w:cs="Courier New" w:hint="default"/>
      </w:rPr>
    </w:lvl>
    <w:lvl w:ilvl="8" w:tplc="FFFFFFFF" w:tentative="1">
      <w:start w:val="1"/>
      <w:numFmt w:val="bullet"/>
      <w:lvlText w:val=""/>
      <w:lvlJc w:val="left"/>
      <w:pPr>
        <w:ind w:left="6534" w:hanging="360"/>
      </w:pPr>
      <w:rPr>
        <w:rFonts w:ascii="Wingdings" w:hAnsi="Wingdings" w:hint="default"/>
      </w:rPr>
    </w:lvl>
  </w:abstractNum>
  <w:abstractNum w:abstractNumId="1" w15:restartNumberingAfterBreak="0">
    <w:nsid w:val="1D266782"/>
    <w:multiLevelType w:val="multilevel"/>
    <w:tmpl w:val="89DC425C"/>
    <w:lvl w:ilvl="0">
      <w:start w:val="1"/>
      <w:numFmt w:val="decimal"/>
      <w:pStyle w:val="Mainhead"/>
      <w:lvlText w:val="%1."/>
      <w:lvlJc w:val="left"/>
      <w:pPr>
        <w:ind w:left="360" w:hanging="360"/>
      </w:pPr>
      <w:rPr>
        <w:rFonts w:hint="default"/>
      </w:rPr>
    </w:lvl>
    <w:lvl w:ilvl="1">
      <w:start w:val="1"/>
      <w:numFmt w:val="decimal"/>
      <w:pStyle w:val="Paragraph"/>
      <w:lvlText w:val="%1.%2."/>
      <w:lvlJc w:val="left"/>
      <w:pPr>
        <w:ind w:left="2701"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ubParagraph"/>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7AD208B"/>
    <w:multiLevelType w:val="hybridMultilevel"/>
    <w:tmpl w:val="95A08904"/>
    <w:lvl w:ilvl="0" w:tplc="EDB24A7A">
      <w:start w:val="1"/>
      <w:numFmt w:val="lowerRoman"/>
      <w:pStyle w:val="Numerals"/>
      <w:lvlText w:val="%1."/>
      <w:lvlJc w:val="left"/>
      <w:pPr>
        <w:ind w:left="1440" w:hanging="720"/>
      </w:pPr>
      <w:rPr>
        <w:rFonts w:hint="default"/>
        <w:sz w:val="22"/>
        <w:szCs w:val="22"/>
      </w:r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C2B10B3"/>
    <w:multiLevelType w:val="hybridMultilevel"/>
    <w:tmpl w:val="ABE4C03A"/>
    <w:lvl w:ilvl="0" w:tplc="08090001">
      <w:start w:val="1"/>
      <w:numFmt w:val="bullet"/>
      <w:lvlText w:val=""/>
      <w:lvlJc w:val="left"/>
      <w:pPr>
        <w:tabs>
          <w:tab w:val="num" w:pos="1800"/>
        </w:tabs>
        <w:ind w:left="1800" w:hanging="360"/>
      </w:pPr>
      <w:rPr>
        <w:rFonts w:ascii="Symbol" w:hAnsi="Symbol"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4" w15:restartNumberingAfterBreak="0">
    <w:nsid w:val="47961412"/>
    <w:multiLevelType w:val="hybridMultilevel"/>
    <w:tmpl w:val="53EABDAE"/>
    <w:lvl w:ilvl="0" w:tplc="08090001">
      <w:start w:val="1"/>
      <w:numFmt w:val="bullet"/>
      <w:lvlText w:val=""/>
      <w:lvlJc w:val="left"/>
      <w:pPr>
        <w:tabs>
          <w:tab w:val="num" w:pos="1800"/>
        </w:tabs>
        <w:ind w:left="1800" w:hanging="360"/>
      </w:pPr>
      <w:rPr>
        <w:rFonts w:ascii="Symbol" w:hAnsi="Symbol" w:hint="default"/>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4FF82321"/>
    <w:multiLevelType w:val="hybridMultilevel"/>
    <w:tmpl w:val="1E9CC3B0"/>
    <w:lvl w:ilvl="0" w:tplc="B94C4E46">
      <w:start w:val="1"/>
      <w:numFmt w:val="bullet"/>
      <w:pStyle w:val="Bullet"/>
      <w:lvlText w:val=""/>
      <w:lvlJc w:val="left"/>
      <w:pPr>
        <w:ind w:left="774" w:hanging="360"/>
      </w:pPr>
      <w:rPr>
        <w:rFonts w:ascii="Symbol" w:hAnsi="Symbol" w:hint="default"/>
      </w:rPr>
    </w:lvl>
    <w:lvl w:ilvl="1" w:tplc="E1180D66">
      <w:numFmt w:val="bullet"/>
      <w:lvlText w:val="•"/>
      <w:lvlJc w:val="left"/>
      <w:pPr>
        <w:ind w:left="1494" w:hanging="360"/>
      </w:pPr>
      <w:rPr>
        <w:rFonts w:ascii="Calibri" w:eastAsia="Calibri" w:hAnsi="Calibri" w:cs="Calibri"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6" w15:restartNumberingAfterBreak="0">
    <w:nsid w:val="523D2971"/>
    <w:multiLevelType w:val="multilevel"/>
    <w:tmpl w:val="681A1676"/>
    <w:lvl w:ilvl="0">
      <w:start w:val="1"/>
      <w:numFmt w:val="decimal"/>
      <w:pStyle w:val="HbkHeading2"/>
      <w:lvlText w:val="%1"/>
      <w:lvlJc w:val="left"/>
      <w:pPr>
        <w:tabs>
          <w:tab w:val="num" w:pos="720"/>
        </w:tabs>
        <w:ind w:left="720" w:hanging="720"/>
      </w:pPr>
      <w:rPr>
        <w:rFonts w:hint="default"/>
      </w:rPr>
    </w:lvl>
    <w:lvl w:ilvl="1">
      <w:start w:val="1"/>
      <w:numFmt w:val="decimal"/>
      <w:pStyle w:val="HbkHeading3"/>
      <w:lvlText w:val="%1.%2"/>
      <w:lvlJc w:val="left"/>
      <w:pPr>
        <w:tabs>
          <w:tab w:val="num" w:pos="1440"/>
        </w:tabs>
        <w:ind w:left="1440" w:hanging="720"/>
      </w:pPr>
      <w:rPr>
        <w:rFonts w:hint="default"/>
        <w:b w:val="0"/>
        <w:color w:val="auto"/>
      </w:rPr>
    </w:lvl>
    <w:lvl w:ilvl="2">
      <w:start w:val="1"/>
      <w:numFmt w:val="decimal"/>
      <w:pStyle w:val="HbkHeading4"/>
      <w:lvlText w:val="%1.%2.%3"/>
      <w:lvlJc w:val="left"/>
      <w:pPr>
        <w:tabs>
          <w:tab w:val="num" w:pos="2160"/>
        </w:tabs>
        <w:ind w:left="2160" w:hanging="720"/>
      </w:pPr>
      <w:rPr>
        <w:rFonts w:hint="default"/>
      </w:rPr>
    </w:lvl>
    <w:lvl w:ilvl="3">
      <w:start w:val="1"/>
      <w:numFmt w:val="decimal"/>
      <w:lvlText w:val="%1.%2.%3.%4"/>
      <w:lvlJc w:val="left"/>
      <w:pPr>
        <w:tabs>
          <w:tab w:val="num" w:pos="3240"/>
        </w:tabs>
        <w:ind w:left="2880" w:hanging="720"/>
      </w:pPr>
      <w:rPr>
        <w:rFonts w:hint="default"/>
      </w:rPr>
    </w:lvl>
    <w:lvl w:ilvl="4">
      <w:start w:val="1"/>
      <w:numFmt w:val="decimal"/>
      <w:lvlText w:val="%1.%2.%3.%4.%5"/>
      <w:lvlJc w:val="left"/>
      <w:pPr>
        <w:tabs>
          <w:tab w:val="num" w:pos="3960"/>
        </w:tabs>
        <w:ind w:left="3600" w:hanging="72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5B06319A"/>
    <w:multiLevelType w:val="hybridMultilevel"/>
    <w:tmpl w:val="53847B6E"/>
    <w:lvl w:ilvl="0" w:tplc="08090001">
      <w:start w:val="1"/>
      <w:numFmt w:val="bullet"/>
      <w:lvlText w:val=""/>
      <w:lvlJc w:val="left"/>
      <w:pPr>
        <w:ind w:left="1720" w:hanging="360"/>
      </w:pPr>
      <w:rPr>
        <w:rFonts w:ascii="Symbol" w:hAnsi="Symbol" w:hint="default"/>
      </w:rPr>
    </w:lvl>
    <w:lvl w:ilvl="1" w:tplc="08090003">
      <w:start w:val="1"/>
      <w:numFmt w:val="bullet"/>
      <w:lvlText w:val="o"/>
      <w:lvlJc w:val="left"/>
      <w:pPr>
        <w:ind w:left="2440" w:hanging="360"/>
      </w:pPr>
      <w:rPr>
        <w:rFonts w:ascii="Courier New" w:hAnsi="Courier New" w:cs="Courier New" w:hint="default"/>
      </w:rPr>
    </w:lvl>
    <w:lvl w:ilvl="2" w:tplc="08090005" w:tentative="1">
      <w:start w:val="1"/>
      <w:numFmt w:val="bullet"/>
      <w:lvlText w:val=""/>
      <w:lvlJc w:val="left"/>
      <w:pPr>
        <w:ind w:left="3160" w:hanging="360"/>
      </w:pPr>
      <w:rPr>
        <w:rFonts w:ascii="Wingdings" w:hAnsi="Wingdings" w:hint="default"/>
      </w:rPr>
    </w:lvl>
    <w:lvl w:ilvl="3" w:tplc="08090001" w:tentative="1">
      <w:start w:val="1"/>
      <w:numFmt w:val="bullet"/>
      <w:lvlText w:val=""/>
      <w:lvlJc w:val="left"/>
      <w:pPr>
        <w:ind w:left="3880" w:hanging="360"/>
      </w:pPr>
      <w:rPr>
        <w:rFonts w:ascii="Symbol" w:hAnsi="Symbol" w:hint="default"/>
      </w:rPr>
    </w:lvl>
    <w:lvl w:ilvl="4" w:tplc="08090003" w:tentative="1">
      <w:start w:val="1"/>
      <w:numFmt w:val="bullet"/>
      <w:lvlText w:val="o"/>
      <w:lvlJc w:val="left"/>
      <w:pPr>
        <w:ind w:left="4600" w:hanging="360"/>
      </w:pPr>
      <w:rPr>
        <w:rFonts w:ascii="Courier New" w:hAnsi="Courier New" w:cs="Courier New" w:hint="default"/>
      </w:rPr>
    </w:lvl>
    <w:lvl w:ilvl="5" w:tplc="08090005" w:tentative="1">
      <w:start w:val="1"/>
      <w:numFmt w:val="bullet"/>
      <w:lvlText w:val=""/>
      <w:lvlJc w:val="left"/>
      <w:pPr>
        <w:ind w:left="5320" w:hanging="360"/>
      </w:pPr>
      <w:rPr>
        <w:rFonts w:ascii="Wingdings" w:hAnsi="Wingdings" w:hint="default"/>
      </w:rPr>
    </w:lvl>
    <w:lvl w:ilvl="6" w:tplc="08090001" w:tentative="1">
      <w:start w:val="1"/>
      <w:numFmt w:val="bullet"/>
      <w:lvlText w:val=""/>
      <w:lvlJc w:val="left"/>
      <w:pPr>
        <w:ind w:left="6040" w:hanging="360"/>
      </w:pPr>
      <w:rPr>
        <w:rFonts w:ascii="Symbol" w:hAnsi="Symbol" w:hint="default"/>
      </w:rPr>
    </w:lvl>
    <w:lvl w:ilvl="7" w:tplc="08090003" w:tentative="1">
      <w:start w:val="1"/>
      <w:numFmt w:val="bullet"/>
      <w:lvlText w:val="o"/>
      <w:lvlJc w:val="left"/>
      <w:pPr>
        <w:ind w:left="6760" w:hanging="360"/>
      </w:pPr>
      <w:rPr>
        <w:rFonts w:ascii="Courier New" w:hAnsi="Courier New" w:cs="Courier New" w:hint="default"/>
      </w:rPr>
    </w:lvl>
    <w:lvl w:ilvl="8" w:tplc="08090005" w:tentative="1">
      <w:start w:val="1"/>
      <w:numFmt w:val="bullet"/>
      <w:lvlText w:val=""/>
      <w:lvlJc w:val="left"/>
      <w:pPr>
        <w:ind w:left="7480" w:hanging="360"/>
      </w:pPr>
      <w:rPr>
        <w:rFonts w:ascii="Wingdings" w:hAnsi="Wingdings" w:hint="default"/>
      </w:rPr>
    </w:lvl>
  </w:abstractNum>
  <w:num w:numId="1" w16cid:durableId="468863941">
    <w:abstractNumId w:val="1"/>
  </w:num>
  <w:num w:numId="2" w16cid:durableId="437063435">
    <w:abstractNumId w:val="5"/>
  </w:num>
  <w:num w:numId="3" w16cid:durableId="2008170365">
    <w:abstractNumId w:val="2"/>
  </w:num>
  <w:num w:numId="4" w16cid:durableId="920679466">
    <w:abstractNumId w:val="7"/>
  </w:num>
  <w:num w:numId="5" w16cid:durableId="1083801231">
    <w:abstractNumId w:val="2"/>
    <w:lvlOverride w:ilvl="0">
      <w:startOverride w:val="1"/>
    </w:lvlOverride>
  </w:num>
  <w:num w:numId="6" w16cid:durableId="252595421">
    <w:abstractNumId w:val="0"/>
  </w:num>
  <w:num w:numId="7" w16cid:durableId="1314602215">
    <w:abstractNumId w:val="6"/>
  </w:num>
  <w:num w:numId="8" w16cid:durableId="1231499735">
    <w:abstractNumId w:val="3"/>
  </w:num>
  <w:num w:numId="9" w16cid:durableId="211251014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mone Smith">
    <w15:presenceInfo w15:providerId="AD" w15:userId="S::Simone.Smith@Coventry.Anglican.org::a8ba8e37-5bb5-48dd-a73e-92e2ebd3b3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643"/>
    <w:rsid w:val="000D1587"/>
    <w:rsid w:val="00292393"/>
    <w:rsid w:val="00431CB6"/>
    <w:rsid w:val="00520472"/>
    <w:rsid w:val="005520F4"/>
    <w:rsid w:val="006A69C2"/>
    <w:rsid w:val="006F1585"/>
    <w:rsid w:val="00713DC3"/>
    <w:rsid w:val="00794898"/>
    <w:rsid w:val="007A5221"/>
    <w:rsid w:val="00831905"/>
    <w:rsid w:val="008C534A"/>
    <w:rsid w:val="009916BC"/>
    <w:rsid w:val="009F1A72"/>
    <w:rsid w:val="00AB4F32"/>
    <w:rsid w:val="00CC5C50"/>
    <w:rsid w:val="00CC7EA7"/>
    <w:rsid w:val="00DB67B3"/>
    <w:rsid w:val="00E42071"/>
    <w:rsid w:val="00E8315D"/>
    <w:rsid w:val="00EE0643"/>
    <w:rsid w:val="00F02DE7"/>
    <w:rsid w:val="00F73940"/>
    <w:rsid w:val="00FD54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BA93B63"/>
  <w15:chartTrackingRefBased/>
  <w15:docId w15:val="{83F97D5B-49DB-422F-B3BA-7004F1A8C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E0643"/>
    <w:pPr>
      <w:spacing w:before="120"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link w:val="ParagraphChar"/>
    <w:qFormat/>
    <w:rsid w:val="00EE0643"/>
    <w:pPr>
      <w:numPr>
        <w:ilvl w:val="1"/>
        <w:numId w:val="1"/>
      </w:numPr>
      <w:ind w:left="1000"/>
    </w:pPr>
    <w:rPr>
      <w:rFonts w:cs="Calibri"/>
    </w:rPr>
  </w:style>
  <w:style w:type="paragraph" w:customStyle="1" w:styleId="Mainhead">
    <w:name w:val="Main head"/>
    <w:basedOn w:val="Normal"/>
    <w:link w:val="MainheadChar"/>
    <w:qFormat/>
    <w:rsid w:val="00EE0643"/>
    <w:pPr>
      <w:numPr>
        <w:numId w:val="1"/>
      </w:numPr>
      <w:spacing w:before="480" w:after="360"/>
    </w:pPr>
    <w:rPr>
      <w:rFonts w:cs="Calibri"/>
      <w:sz w:val="48"/>
      <w:szCs w:val="48"/>
    </w:rPr>
  </w:style>
  <w:style w:type="character" w:customStyle="1" w:styleId="ParagraphChar">
    <w:name w:val="Paragraph Char"/>
    <w:link w:val="Paragraph"/>
    <w:rsid w:val="00EE0643"/>
    <w:rPr>
      <w:rFonts w:ascii="Calibri" w:eastAsia="Calibri" w:hAnsi="Calibri" w:cs="Calibri"/>
    </w:rPr>
  </w:style>
  <w:style w:type="paragraph" w:customStyle="1" w:styleId="Bullet">
    <w:name w:val="Bullet"/>
    <w:basedOn w:val="Normal"/>
    <w:link w:val="BulletChar"/>
    <w:qFormat/>
    <w:rsid w:val="00EE0643"/>
    <w:pPr>
      <w:numPr>
        <w:numId w:val="2"/>
      </w:numPr>
      <w:spacing w:before="60"/>
      <w:ind w:left="1134" w:hanging="357"/>
    </w:pPr>
    <w:rPr>
      <w:rFonts w:cs="Calibri"/>
    </w:rPr>
  </w:style>
  <w:style w:type="character" w:customStyle="1" w:styleId="MainheadChar">
    <w:name w:val="Main head Char"/>
    <w:link w:val="Mainhead"/>
    <w:rsid w:val="00EE0643"/>
    <w:rPr>
      <w:rFonts w:ascii="Calibri" w:eastAsia="Calibri" w:hAnsi="Calibri" w:cs="Calibri"/>
      <w:sz w:val="48"/>
      <w:szCs w:val="48"/>
    </w:rPr>
  </w:style>
  <w:style w:type="character" w:customStyle="1" w:styleId="BulletChar">
    <w:name w:val="Bullet Char"/>
    <w:link w:val="Bullet"/>
    <w:rsid w:val="00EE0643"/>
    <w:rPr>
      <w:rFonts w:ascii="Calibri" w:eastAsia="Calibri" w:hAnsi="Calibri" w:cs="Calibri"/>
    </w:rPr>
  </w:style>
  <w:style w:type="paragraph" w:customStyle="1" w:styleId="Numerals">
    <w:name w:val="Numerals"/>
    <w:basedOn w:val="Paragraph"/>
    <w:link w:val="NumeralsChar"/>
    <w:qFormat/>
    <w:rsid w:val="00EE0643"/>
    <w:pPr>
      <w:numPr>
        <w:ilvl w:val="0"/>
        <w:numId w:val="3"/>
      </w:numPr>
    </w:pPr>
  </w:style>
  <w:style w:type="paragraph" w:customStyle="1" w:styleId="SubParagraph">
    <w:name w:val="Sub Paragraph"/>
    <w:basedOn w:val="Paragraph"/>
    <w:link w:val="SubParagraphChar"/>
    <w:qFormat/>
    <w:rsid w:val="00EE0643"/>
    <w:pPr>
      <w:numPr>
        <w:ilvl w:val="2"/>
      </w:numPr>
    </w:pPr>
  </w:style>
  <w:style w:type="character" w:customStyle="1" w:styleId="NumeralsChar">
    <w:name w:val="Numerals Char"/>
    <w:basedOn w:val="ParagraphChar"/>
    <w:link w:val="Numerals"/>
    <w:rsid w:val="00EE0643"/>
    <w:rPr>
      <w:rFonts w:ascii="Calibri" w:eastAsia="Calibri" w:hAnsi="Calibri" w:cs="Calibri"/>
    </w:rPr>
  </w:style>
  <w:style w:type="character" w:customStyle="1" w:styleId="SubParagraphChar">
    <w:name w:val="Sub Paragraph Char"/>
    <w:basedOn w:val="ParagraphChar"/>
    <w:link w:val="SubParagraph"/>
    <w:rsid w:val="00EE0643"/>
    <w:rPr>
      <w:rFonts w:ascii="Calibri" w:eastAsia="Calibri" w:hAnsi="Calibri" w:cs="Calibri"/>
    </w:rPr>
  </w:style>
  <w:style w:type="paragraph" w:customStyle="1" w:styleId="Mainheading">
    <w:name w:val="Main heading"/>
    <w:basedOn w:val="Normal"/>
    <w:link w:val="MainheadingChar"/>
    <w:qFormat/>
    <w:rsid w:val="00EE0643"/>
    <w:pPr>
      <w:spacing w:before="360" w:after="360"/>
    </w:pPr>
    <w:rPr>
      <w:rFonts w:cs="Calibri"/>
      <w:sz w:val="48"/>
      <w:szCs w:val="48"/>
    </w:rPr>
  </w:style>
  <w:style w:type="character" w:customStyle="1" w:styleId="MainheadingChar">
    <w:name w:val="Main heading Char"/>
    <w:link w:val="Mainheading"/>
    <w:rsid w:val="00EE0643"/>
    <w:rPr>
      <w:rFonts w:ascii="Calibri" w:eastAsia="Calibri" w:hAnsi="Calibri" w:cs="Calibri"/>
      <w:sz w:val="48"/>
      <w:szCs w:val="48"/>
    </w:rPr>
  </w:style>
  <w:style w:type="paragraph" w:styleId="Header">
    <w:name w:val="header"/>
    <w:basedOn w:val="Normal"/>
    <w:link w:val="HeaderChar"/>
    <w:uiPriority w:val="99"/>
    <w:unhideWhenUsed/>
    <w:rsid w:val="00EE0643"/>
    <w:pPr>
      <w:tabs>
        <w:tab w:val="center" w:pos="4513"/>
        <w:tab w:val="right" w:pos="9026"/>
      </w:tabs>
      <w:spacing w:before="0"/>
    </w:pPr>
  </w:style>
  <w:style w:type="character" w:customStyle="1" w:styleId="HeaderChar">
    <w:name w:val="Header Char"/>
    <w:basedOn w:val="DefaultParagraphFont"/>
    <w:link w:val="Header"/>
    <w:uiPriority w:val="99"/>
    <w:rsid w:val="00EE0643"/>
    <w:rPr>
      <w:rFonts w:ascii="Calibri" w:eastAsia="Calibri" w:hAnsi="Calibri" w:cs="Times New Roman"/>
    </w:rPr>
  </w:style>
  <w:style w:type="paragraph" w:styleId="Footer">
    <w:name w:val="footer"/>
    <w:basedOn w:val="Normal"/>
    <w:link w:val="FooterChar"/>
    <w:uiPriority w:val="99"/>
    <w:unhideWhenUsed/>
    <w:rsid w:val="00EE0643"/>
    <w:pPr>
      <w:tabs>
        <w:tab w:val="center" w:pos="4513"/>
        <w:tab w:val="right" w:pos="9026"/>
      </w:tabs>
      <w:spacing w:before="0"/>
    </w:pPr>
  </w:style>
  <w:style w:type="character" w:customStyle="1" w:styleId="FooterChar">
    <w:name w:val="Footer Char"/>
    <w:basedOn w:val="DefaultParagraphFont"/>
    <w:link w:val="Footer"/>
    <w:uiPriority w:val="99"/>
    <w:rsid w:val="00EE0643"/>
    <w:rPr>
      <w:rFonts w:ascii="Calibri" w:eastAsia="Calibri" w:hAnsi="Calibri" w:cs="Times New Roman"/>
    </w:rPr>
  </w:style>
  <w:style w:type="paragraph" w:customStyle="1" w:styleId="HbkHeading2">
    <w:name w:val="Hbk Heading 2"/>
    <w:basedOn w:val="Normal"/>
    <w:rsid w:val="00F02DE7"/>
    <w:pPr>
      <w:numPr>
        <w:numId w:val="7"/>
      </w:numPr>
      <w:spacing w:before="0"/>
      <w:jc w:val="both"/>
    </w:pPr>
    <w:rPr>
      <w:rFonts w:ascii="Arial" w:eastAsia="Times New Roman" w:hAnsi="Arial"/>
      <w:b/>
      <w:bCs/>
      <w:sz w:val="24"/>
      <w:szCs w:val="24"/>
      <w:u w:val="single"/>
    </w:rPr>
  </w:style>
  <w:style w:type="paragraph" w:customStyle="1" w:styleId="HbkHeading3">
    <w:name w:val="Hbk Heading 3"/>
    <w:basedOn w:val="Normal"/>
    <w:rsid w:val="00F02DE7"/>
    <w:pPr>
      <w:numPr>
        <w:ilvl w:val="1"/>
        <w:numId w:val="7"/>
      </w:numPr>
      <w:spacing w:before="0"/>
      <w:jc w:val="both"/>
    </w:pPr>
    <w:rPr>
      <w:rFonts w:ascii="Arial" w:eastAsia="Times New Roman" w:hAnsi="Arial"/>
      <w:sz w:val="24"/>
      <w:szCs w:val="24"/>
    </w:rPr>
  </w:style>
  <w:style w:type="paragraph" w:customStyle="1" w:styleId="HbkHeading4">
    <w:name w:val="Hbk Heading 4"/>
    <w:basedOn w:val="Normal"/>
    <w:rsid w:val="00F02DE7"/>
    <w:pPr>
      <w:numPr>
        <w:ilvl w:val="2"/>
        <w:numId w:val="7"/>
      </w:numPr>
      <w:spacing w:before="0"/>
      <w:jc w:val="both"/>
    </w:pPr>
    <w:rPr>
      <w:rFonts w:ascii="Arial" w:eastAsia="Times New Roman" w:hAnsi="Arial"/>
      <w:sz w:val="24"/>
      <w:szCs w:val="24"/>
    </w:rPr>
  </w:style>
  <w:style w:type="character" w:customStyle="1" w:styleId="text">
    <w:name w:val="text"/>
    <w:basedOn w:val="DefaultParagraphFont"/>
    <w:rsid w:val="009916BC"/>
  </w:style>
  <w:style w:type="character" w:customStyle="1" w:styleId="woj">
    <w:name w:val="woj"/>
    <w:basedOn w:val="DefaultParagraphFont"/>
    <w:rsid w:val="009916BC"/>
  </w:style>
  <w:style w:type="paragraph" w:styleId="TOC1">
    <w:name w:val="toc 1"/>
    <w:basedOn w:val="Normal"/>
    <w:next w:val="Normal"/>
    <w:autoRedefine/>
    <w:uiPriority w:val="39"/>
    <w:semiHidden/>
    <w:unhideWhenUsed/>
    <w:rsid w:val="009F1A72"/>
    <w:pPr>
      <w:spacing w:after="100"/>
    </w:pPr>
    <w:rPr>
      <w:caps/>
    </w:rPr>
  </w:style>
  <w:style w:type="paragraph" w:styleId="TOC2">
    <w:name w:val="toc 2"/>
    <w:basedOn w:val="Normal"/>
    <w:next w:val="Normal"/>
    <w:autoRedefine/>
    <w:uiPriority w:val="39"/>
    <w:semiHidden/>
    <w:unhideWhenUsed/>
    <w:rsid w:val="009F1A72"/>
    <w:pPr>
      <w:spacing w:after="100"/>
      <w:ind w:left="220"/>
    </w:pPr>
  </w:style>
  <w:style w:type="paragraph" w:styleId="TOC3">
    <w:name w:val="toc 3"/>
    <w:basedOn w:val="Normal"/>
    <w:next w:val="Normal"/>
    <w:autoRedefine/>
    <w:uiPriority w:val="39"/>
    <w:semiHidden/>
    <w:unhideWhenUsed/>
    <w:rsid w:val="009F1A72"/>
    <w:pPr>
      <w:spacing w:after="100"/>
      <w:ind w:left="440"/>
    </w:pPr>
  </w:style>
  <w:style w:type="paragraph" w:styleId="TOC4">
    <w:name w:val="toc 4"/>
    <w:basedOn w:val="Normal"/>
    <w:next w:val="Normal"/>
    <w:autoRedefine/>
    <w:uiPriority w:val="39"/>
    <w:semiHidden/>
    <w:unhideWhenUsed/>
    <w:rsid w:val="009F1A72"/>
    <w:pPr>
      <w:spacing w:after="100"/>
      <w:ind w:left="660"/>
    </w:pPr>
    <w:rPr>
      <w:caps/>
    </w:rPr>
  </w:style>
  <w:style w:type="paragraph" w:styleId="TOC5">
    <w:name w:val="toc 5"/>
    <w:basedOn w:val="Normal"/>
    <w:next w:val="Normal"/>
    <w:autoRedefine/>
    <w:uiPriority w:val="39"/>
    <w:semiHidden/>
    <w:unhideWhenUsed/>
    <w:rsid w:val="009F1A72"/>
    <w:pPr>
      <w:spacing w:after="100"/>
      <w:ind w:left="880"/>
    </w:pPr>
  </w:style>
  <w:style w:type="paragraph" w:styleId="TOC6">
    <w:name w:val="toc 6"/>
    <w:basedOn w:val="Normal"/>
    <w:next w:val="Normal"/>
    <w:autoRedefine/>
    <w:uiPriority w:val="39"/>
    <w:semiHidden/>
    <w:unhideWhenUsed/>
    <w:rsid w:val="009F1A72"/>
    <w:pPr>
      <w:spacing w:after="100"/>
      <w:ind w:left="1100"/>
    </w:pPr>
  </w:style>
  <w:style w:type="paragraph" w:styleId="Revision">
    <w:name w:val="Revision"/>
    <w:hidden/>
    <w:uiPriority w:val="99"/>
    <w:semiHidden/>
    <w:rsid w:val="00DB67B3"/>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6A69C2"/>
    <w:rPr>
      <w:sz w:val="16"/>
      <w:szCs w:val="16"/>
    </w:rPr>
  </w:style>
  <w:style w:type="paragraph" w:styleId="CommentText">
    <w:name w:val="annotation text"/>
    <w:basedOn w:val="Normal"/>
    <w:link w:val="CommentTextChar"/>
    <w:uiPriority w:val="99"/>
    <w:unhideWhenUsed/>
    <w:rsid w:val="006A69C2"/>
    <w:rPr>
      <w:sz w:val="20"/>
      <w:szCs w:val="20"/>
    </w:rPr>
  </w:style>
  <w:style w:type="character" w:customStyle="1" w:styleId="CommentTextChar">
    <w:name w:val="Comment Text Char"/>
    <w:basedOn w:val="DefaultParagraphFont"/>
    <w:link w:val="CommentText"/>
    <w:uiPriority w:val="99"/>
    <w:rsid w:val="006A69C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A69C2"/>
    <w:rPr>
      <w:b/>
      <w:bCs/>
    </w:rPr>
  </w:style>
  <w:style w:type="character" w:customStyle="1" w:styleId="CommentSubjectChar">
    <w:name w:val="Comment Subject Char"/>
    <w:basedOn w:val="CommentTextChar"/>
    <w:link w:val="CommentSubject"/>
    <w:uiPriority w:val="99"/>
    <w:semiHidden/>
    <w:rsid w:val="006A69C2"/>
    <w:rPr>
      <w:rFonts w:ascii="Calibri" w:eastAsia="Calibri" w:hAnsi="Calibri" w:cs="Times New Roman"/>
      <w:b/>
      <w:bCs/>
      <w:sz w:val="20"/>
      <w:szCs w:val="20"/>
    </w:rPr>
  </w:style>
  <w:style w:type="character" w:styleId="Hyperlink">
    <w:name w:val="Hyperlink"/>
    <w:basedOn w:val="DefaultParagraphFont"/>
    <w:uiPriority w:val="99"/>
    <w:unhideWhenUsed/>
    <w:rsid w:val="00E8315D"/>
    <w:rPr>
      <w:color w:val="0563C1" w:themeColor="hyperlink"/>
      <w:u w:val="single"/>
    </w:rPr>
  </w:style>
  <w:style w:type="character" w:styleId="UnresolvedMention">
    <w:name w:val="Unresolved Mention"/>
    <w:basedOn w:val="DefaultParagraphFont"/>
    <w:uiPriority w:val="99"/>
    <w:semiHidden/>
    <w:unhideWhenUsed/>
    <w:rsid w:val="00E831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blowing-the-whistle-list-of-prescribed-people-and-bodie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285429128E7C4F9600AE224C03363C" ma:contentTypeVersion="23" ma:contentTypeDescription="Create a new document." ma:contentTypeScope="" ma:versionID="71e36298c1252fc4eafc1da9e70679aa">
  <xsd:schema xmlns:xsd="http://www.w3.org/2001/XMLSchema" xmlns:xs="http://www.w3.org/2001/XMLSchema" xmlns:p="http://schemas.microsoft.com/office/2006/metadata/properties" xmlns:ns2="926f550a-dd3c-46da-911d-b48dd5009da6" xmlns:ns3="3512532b-0154-4a35-abd3-e4aecfdbc090" targetNamespace="http://schemas.microsoft.com/office/2006/metadata/properties" ma:root="true" ma:fieldsID="0ba10a997fa32296f6f153ff1112a163" ns2:_="" ns3:_="">
    <xsd:import namespace="926f550a-dd3c-46da-911d-b48dd5009da6"/>
    <xsd:import namespace="3512532b-0154-4a35-abd3-e4aecfdbc09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6f550a-dd3c-46da-911d-b48dd5009da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24b11a9-5e1b-4f61-a205-f6390f646d17}" ma:internalName="TaxCatchAll" ma:showField="CatchAllData" ma:web="926f550a-dd3c-46da-911d-b48dd5009da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512532b-0154-4a35-abd3-e4aecfdbc09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b709a23-7e7c-4322-9729-020c8f79a2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12532b-0154-4a35-abd3-e4aecfdbc090">
      <Terms xmlns="http://schemas.microsoft.com/office/infopath/2007/PartnerControls"/>
    </lcf76f155ced4ddcb4097134ff3c332f>
    <TaxCatchAll xmlns="926f550a-dd3c-46da-911d-b48dd5009da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2D6D37-DFC1-48CA-8356-A7B77513BC7F}"/>
</file>

<file path=customXml/itemProps2.xml><?xml version="1.0" encoding="utf-8"?>
<ds:datastoreItem xmlns:ds="http://schemas.openxmlformats.org/officeDocument/2006/customXml" ds:itemID="{22375CA3-EB23-46F2-95A8-FAEC6444C4C9}">
  <ds:schemaRefs>
    <ds:schemaRef ds:uri="http://schemas.microsoft.com/office/2006/metadata/properties"/>
    <ds:schemaRef ds:uri="http://schemas.microsoft.com/office/infopath/2007/PartnerControls"/>
    <ds:schemaRef ds:uri="3512532b-0154-4a35-abd3-e4aecfdbc090"/>
    <ds:schemaRef ds:uri="926f550a-dd3c-46da-911d-b48dd5009da6"/>
  </ds:schemaRefs>
</ds:datastoreItem>
</file>

<file path=customXml/itemProps3.xml><?xml version="1.0" encoding="utf-8"?>
<ds:datastoreItem xmlns:ds="http://schemas.openxmlformats.org/officeDocument/2006/customXml" ds:itemID="{476D5BFC-53D1-4276-8CB6-0E9C7E6603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765</Words>
  <Characters>4363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King</dc:creator>
  <cp:keywords/>
  <dc:description/>
  <cp:lastModifiedBy>Simone Smith</cp:lastModifiedBy>
  <cp:revision>3</cp:revision>
  <dcterms:created xsi:type="dcterms:W3CDTF">2026-01-22T13:42:00Z</dcterms:created>
  <dcterms:modified xsi:type="dcterms:W3CDTF">2026-01-22T13:44:00Z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0x010100AE285429128E7C4F9600AE224C03363C</vt:lpwstr>
  </property>
  <property fmtid="{D5CDD505-2E9C-101B-9397-08002B2CF9AE}" pid="3" name="ItemID">
    <vt:i4>27275260</vt:i4>
  </property>
  <property fmtid="{D5CDD505-2E9C-101B-9397-08002B2CF9AE}" pid="4" name="MediaServiceImageTags">
    <vt:lpwstr/>
  </property>
</Properties>
</file>