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426" w:tblpY="140"/>
        <w:tblW w:w="10314" w:type="dxa"/>
        <w:tblLook w:val="00A0" w:firstRow="1" w:lastRow="0" w:firstColumn="1" w:lastColumn="0" w:noHBand="0" w:noVBand="0"/>
      </w:tblPr>
      <w:tblGrid>
        <w:gridCol w:w="3544"/>
        <w:gridCol w:w="6770"/>
      </w:tblGrid>
      <w:tr w:rsidR="00EE0643" w:rsidRPr="00FC6E02" w14:paraId="6DA5FA24" w14:textId="77777777" w:rsidTr="00292393">
        <w:trPr>
          <w:trHeight w:val="1340"/>
        </w:trPr>
        <w:tc>
          <w:tcPr>
            <w:tcW w:w="3544" w:type="dxa"/>
          </w:tcPr>
          <w:p w14:paraId="62575863" w14:textId="19E0345A" w:rsidR="00EE0643" w:rsidRPr="003C575A" w:rsidRDefault="00A66E2B" w:rsidP="00292393">
            <w:pPr>
              <w:rPr>
                <w:rFonts w:ascii="Arial" w:hAnsi="Arial" w:cs="Arial"/>
              </w:rPr>
            </w:pPr>
            <w:r w:rsidRPr="00A66E2B">
              <w:rPr>
                <w:rFonts w:ascii="Arial" w:hAnsi="Arial" w:cs="Arial"/>
                <w:noProof/>
                <w:highlight w:val="yellow"/>
              </w:rPr>
              <w:t>PCC LOGO</w:t>
            </w:r>
          </w:p>
        </w:tc>
        <w:tc>
          <w:tcPr>
            <w:tcW w:w="6770" w:type="dxa"/>
            <w:vAlign w:val="center"/>
          </w:tcPr>
          <w:p w14:paraId="4BE6BB23" w14:textId="3A716770" w:rsidR="00EE0643" w:rsidRPr="00FF248D" w:rsidRDefault="000856EE" w:rsidP="00292393">
            <w:pPr>
              <w:ind w:firstLine="19"/>
              <w:jc w:val="center"/>
              <w:rPr>
                <w:rFonts w:cs="Calibri"/>
              </w:rPr>
            </w:pPr>
            <w:r>
              <w:rPr>
                <w:rFonts w:cs="Calibri"/>
                <w:sz w:val="56"/>
                <w:szCs w:val="56"/>
              </w:rPr>
              <w:t>Holidays and Holiday Pay</w:t>
            </w:r>
            <w:r w:rsidR="00EE0643" w:rsidRPr="002E3C56">
              <w:rPr>
                <w:rFonts w:cs="Calibri"/>
                <w:sz w:val="56"/>
                <w:szCs w:val="56"/>
              </w:rPr>
              <w:t xml:space="preserve"> Policy</w:t>
            </w:r>
          </w:p>
        </w:tc>
      </w:tr>
    </w:tbl>
    <w:p w14:paraId="137A1B69" w14:textId="77777777" w:rsidR="00EE0643" w:rsidRDefault="00EE0643" w:rsidP="00EE0643">
      <w:pPr>
        <w:pStyle w:val="Mainheading"/>
        <w:spacing w:after="0"/>
      </w:pPr>
      <w:r w:rsidRPr="00B34359">
        <w:t>Document Overview</w:t>
      </w:r>
    </w:p>
    <w:p w14:paraId="4E7A4703" w14:textId="77777777" w:rsidR="00EE0643" w:rsidRDefault="00EE0643" w:rsidP="00EE0643">
      <w:pPr>
        <w:pStyle w:val="Paragraph"/>
        <w:numPr>
          <w:ilvl w:val="0"/>
          <w:numId w:val="0"/>
        </w:numPr>
        <w:spacing w:before="0"/>
        <w:ind w:left="792"/>
      </w:pPr>
    </w:p>
    <w:tbl>
      <w:tblPr>
        <w:tblpPr w:leftFromText="180" w:rightFromText="180" w:vertAnchor="text" w:horzAnchor="margin" w:tblpY="5"/>
        <w:tblW w:w="0" w:type="auto"/>
        <w:tblBorders>
          <w:top w:val="single" w:sz="8" w:space="0" w:color="000000"/>
          <w:bottom w:val="single" w:sz="8" w:space="0" w:color="000000"/>
        </w:tblBorders>
        <w:tblLook w:val="0600" w:firstRow="0" w:lastRow="0" w:firstColumn="0" w:lastColumn="0" w:noHBand="1" w:noVBand="1"/>
      </w:tblPr>
      <w:tblGrid>
        <w:gridCol w:w="2570"/>
        <w:gridCol w:w="6456"/>
      </w:tblGrid>
      <w:tr w:rsidR="00EE0643" w:rsidRPr="00DB18B3" w14:paraId="61ECC36A" w14:textId="77777777" w:rsidTr="002A7CE6">
        <w:trPr>
          <w:trHeight w:val="271"/>
        </w:trPr>
        <w:tc>
          <w:tcPr>
            <w:tcW w:w="2802" w:type="dxa"/>
            <w:shd w:val="clear" w:color="auto" w:fill="D9D9D9"/>
          </w:tcPr>
          <w:p w14:paraId="44031CF3" w14:textId="77777777" w:rsidR="00EE0643" w:rsidRPr="00BF2EF4" w:rsidRDefault="00EE0643" w:rsidP="002A7CE6">
            <w:pPr>
              <w:spacing w:after="120"/>
              <w:jc w:val="right"/>
              <w:rPr>
                <w:rFonts w:cs="Calibri"/>
                <w:b/>
              </w:rPr>
            </w:pPr>
            <w:r w:rsidRPr="00BF2EF4">
              <w:rPr>
                <w:b/>
              </w:rPr>
              <w:t>Purpose</w:t>
            </w:r>
          </w:p>
        </w:tc>
        <w:tc>
          <w:tcPr>
            <w:tcW w:w="7619" w:type="dxa"/>
            <w:shd w:val="clear" w:color="auto" w:fill="D9D9D9"/>
          </w:tcPr>
          <w:p w14:paraId="467A6E78" w14:textId="19926F2D" w:rsidR="00EE0643" w:rsidRPr="00BF2EF4" w:rsidRDefault="00EE0643" w:rsidP="002A7CE6">
            <w:pPr>
              <w:spacing w:after="120"/>
              <w:rPr>
                <w:rFonts w:cs="Calibri"/>
              </w:rPr>
            </w:pPr>
            <w:r w:rsidRPr="00BF2EF4">
              <w:rPr>
                <w:rFonts w:cs="Calibri"/>
              </w:rPr>
              <w:t xml:space="preserve">The purpose of this </w:t>
            </w:r>
            <w:r>
              <w:rPr>
                <w:rFonts w:cs="Calibri"/>
              </w:rPr>
              <w:t xml:space="preserve">policy </w:t>
            </w:r>
            <w:r>
              <w:t xml:space="preserve">is </w:t>
            </w:r>
            <w:r w:rsidRPr="002E3C56">
              <w:rPr>
                <w:rFonts w:cs="Calibri"/>
              </w:rPr>
              <w:t xml:space="preserve">to ensure that </w:t>
            </w:r>
            <w:r w:rsidR="000856EE">
              <w:rPr>
                <w:rFonts w:cs="Calibri"/>
              </w:rPr>
              <w:t>all employees understand their holiday entitlement and the relevant policy for booking holiday</w:t>
            </w:r>
            <w:r w:rsidRPr="002E3C56">
              <w:rPr>
                <w:rFonts w:cs="Calibri"/>
              </w:rPr>
              <w:t>. This policy applies to all staff with a contract of employment.</w:t>
            </w:r>
          </w:p>
        </w:tc>
      </w:tr>
      <w:tr w:rsidR="00EE0643" w:rsidRPr="00DB18B3" w14:paraId="3E536713" w14:textId="77777777" w:rsidTr="002A7CE6">
        <w:tc>
          <w:tcPr>
            <w:tcW w:w="2802" w:type="dxa"/>
            <w:shd w:val="clear" w:color="auto" w:fill="auto"/>
          </w:tcPr>
          <w:p w14:paraId="5311A0D5" w14:textId="77777777" w:rsidR="00EE0643" w:rsidRPr="00BF2EF4" w:rsidRDefault="00EE0643" w:rsidP="002A7CE6">
            <w:pPr>
              <w:spacing w:after="120"/>
              <w:jc w:val="right"/>
              <w:rPr>
                <w:rFonts w:cs="Calibri"/>
                <w:b/>
              </w:rPr>
            </w:pPr>
            <w:r w:rsidRPr="00BF2EF4">
              <w:rPr>
                <w:rFonts w:cs="Calibri"/>
                <w:b/>
              </w:rPr>
              <w:t>Confidentiality</w:t>
            </w:r>
          </w:p>
        </w:tc>
        <w:tc>
          <w:tcPr>
            <w:tcW w:w="7619" w:type="dxa"/>
            <w:shd w:val="clear" w:color="auto" w:fill="auto"/>
          </w:tcPr>
          <w:p w14:paraId="6653F7B9" w14:textId="77777777" w:rsidR="00EE0643" w:rsidRPr="00BF2EF4" w:rsidRDefault="00EE0643" w:rsidP="002A7CE6">
            <w:pPr>
              <w:spacing w:after="120"/>
              <w:rPr>
                <w:rFonts w:cs="Calibri"/>
              </w:rPr>
            </w:pPr>
            <w:r w:rsidRPr="00BF2EF4">
              <w:rPr>
                <w:rFonts w:cs="Calibri"/>
              </w:rPr>
              <w:t>This document is not confidential.</w:t>
            </w:r>
          </w:p>
        </w:tc>
      </w:tr>
      <w:tr w:rsidR="00EE0643" w:rsidRPr="00DB18B3" w14:paraId="543BC58F" w14:textId="77777777" w:rsidTr="002A7CE6">
        <w:tc>
          <w:tcPr>
            <w:tcW w:w="2802" w:type="dxa"/>
            <w:shd w:val="clear" w:color="auto" w:fill="D9D9D9"/>
          </w:tcPr>
          <w:p w14:paraId="20A608D7" w14:textId="77777777" w:rsidR="00EE0643" w:rsidRPr="00BF2EF4" w:rsidRDefault="00EE0643" w:rsidP="002A7CE6">
            <w:pPr>
              <w:spacing w:after="120"/>
              <w:jc w:val="right"/>
              <w:rPr>
                <w:rFonts w:cs="Calibri"/>
                <w:b/>
              </w:rPr>
            </w:pPr>
            <w:r w:rsidRPr="00BF2EF4">
              <w:rPr>
                <w:rFonts w:cs="Calibri"/>
                <w:b/>
              </w:rPr>
              <w:t>Document owner</w:t>
            </w:r>
          </w:p>
        </w:tc>
        <w:tc>
          <w:tcPr>
            <w:tcW w:w="7619" w:type="dxa"/>
            <w:shd w:val="clear" w:color="auto" w:fill="D9D9D9"/>
          </w:tcPr>
          <w:p w14:paraId="1CADD7C8" w14:textId="494532D1" w:rsidR="00EE0643" w:rsidRPr="00BF2EF4" w:rsidRDefault="00EE0643" w:rsidP="002A7CE6">
            <w:pPr>
              <w:spacing w:after="120"/>
              <w:rPr>
                <w:rFonts w:cs="Calibri"/>
              </w:rPr>
            </w:pPr>
          </w:p>
        </w:tc>
      </w:tr>
      <w:tr w:rsidR="00EE0643" w:rsidRPr="00DB18B3" w14:paraId="22AE1B02" w14:textId="77777777" w:rsidTr="002A7CE6">
        <w:tc>
          <w:tcPr>
            <w:tcW w:w="2802" w:type="dxa"/>
            <w:shd w:val="clear" w:color="auto" w:fill="auto"/>
          </w:tcPr>
          <w:p w14:paraId="1416D7BE" w14:textId="77777777" w:rsidR="00EE0643" w:rsidRPr="00BF2EF4" w:rsidRDefault="00EE0643" w:rsidP="002A7CE6">
            <w:pPr>
              <w:spacing w:after="120"/>
              <w:jc w:val="right"/>
              <w:rPr>
                <w:rFonts w:cs="Calibri"/>
                <w:b/>
              </w:rPr>
            </w:pPr>
            <w:r w:rsidRPr="00BF2EF4">
              <w:rPr>
                <w:rFonts w:cs="Calibri"/>
                <w:b/>
              </w:rPr>
              <w:t>Status note</w:t>
            </w:r>
          </w:p>
        </w:tc>
        <w:tc>
          <w:tcPr>
            <w:tcW w:w="7619" w:type="dxa"/>
            <w:shd w:val="clear" w:color="auto" w:fill="auto"/>
          </w:tcPr>
          <w:p w14:paraId="4B5F50DD" w14:textId="26A61498" w:rsidR="00EE0643" w:rsidRPr="00BF2EF4" w:rsidRDefault="00A66E2B" w:rsidP="002A7CE6">
            <w:pPr>
              <w:spacing w:after="120"/>
              <w:rPr>
                <w:rFonts w:cs="Calibri"/>
              </w:rPr>
            </w:pPr>
            <w:r>
              <w:rPr>
                <w:rFonts w:cs="Calibri"/>
              </w:rPr>
              <w:t>Draft/</w:t>
            </w:r>
            <w:r w:rsidR="00EE0643">
              <w:rPr>
                <w:rFonts w:cs="Calibri"/>
              </w:rPr>
              <w:t>Final</w:t>
            </w:r>
          </w:p>
        </w:tc>
      </w:tr>
      <w:tr w:rsidR="00EE0643" w:rsidRPr="00DB18B3" w14:paraId="6B6B5752" w14:textId="77777777" w:rsidTr="002A7CE6">
        <w:tc>
          <w:tcPr>
            <w:tcW w:w="2802" w:type="dxa"/>
            <w:shd w:val="clear" w:color="auto" w:fill="D9D9D9"/>
          </w:tcPr>
          <w:p w14:paraId="0C4EE4B6" w14:textId="77777777" w:rsidR="00EE0643" w:rsidRPr="00BF2EF4" w:rsidRDefault="00EE0643" w:rsidP="002A7CE6">
            <w:pPr>
              <w:spacing w:after="120"/>
              <w:jc w:val="right"/>
              <w:rPr>
                <w:rFonts w:cs="Calibri"/>
                <w:b/>
              </w:rPr>
            </w:pPr>
            <w:r w:rsidRPr="00BF2EF4">
              <w:rPr>
                <w:rFonts w:cs="Calibri"/>
                <w:b/>
              </w:rPr>
              <w:t>Distribution</w:t>
            </w:r>
          </w:p>
        </w:tc>
        <w:tc>
          <w:tcPr>
            <w:tcW w:w="7619" w:type="dxa"/>
            <w:shd w:val="clear" w:color="auto" w:fill="D9D9D9"/>
          </w:tcPr>
          <w:p w14:paraId="49A8CA72" w14:textId="7AC12363" w:rsidR="00EE0643" w:rsidRPr="00BF2EF4" w:rsidRDefault="00EE0643" w:rsidP="002A7CE6">
            <w:pPr>
              <w:spacing w:after="120"/>
              <w:rPr>
                <w:rFonts w:cs="Calibri"/>
              </w:rPr>
            </w:pPr>
            <w:r w:rsidRPr="00BF2EF4">
              <w:rPr>
                <w:rFonts w:cs="Calibri"/>
              </w:rPr>
              <w:t>All</w:t>
            </w:r>
            <w:r>
              <w:rPr>
                <w:rFonts w:cs="Calibri"/>
              </w:rPr>
              <w:t xml:space="preserve"> </w:t>
            </w:r>
            <w:r w:rsidR="00A66E2B">
              <w:rPr>
                <w:rFonts w:cs="Calibri"/>
              </w:rPr>
              <w:t>PCC</w:t>
            </w:r>
            <w:r w:rsidRPr="00BF2EF4">
              <w:rPr>
                <w:rFonts w:cs="Calibri"/>
              </w:rPr>
              <w:t xml:space="preserve"> </w:t>
            </w:r>
            <w:r>
              <w:rPr>
                <w:rFonts w:cs="Calibri"/>
              </w:rPr>
              <w:t>staff.</w:t>
            </w:r>
          </w:p>
        </w:tc>
      </w:tr>
      <w:tr w:rsidR="00EE0643" w:rsidRPr="00DB18B3" w14:paraId="567BDA2A" w14:textId="77777777" w:rsidTr="002A7CE6">
        <w:tc>
          <w:tcPr>
            <w:tcW w:w="2802" w:type="dxa"/>
            <w:shd w:val="clear" w:color="auto" w:fill="auto"/>
          </w:tcPr>
          <w:p w14:paraId="1001D1D0" w14:textId="77777777" w:rsidR="00EE0643" w:rsidRPr="00BF2EF4" w:rsidRDefault="00EE0643" w:rsidP="002A7CE6">
            <w:pPr>
              <w:spacing w:after="120"/>
              <w:jc w:val="right"/>
              <w:rPr>
                <w:rFonts w:cs="Calibri"/>
                <w:b/>
              </w:rPr>
            </w:pPr>
            <w:r w:rsidRPr="00BF2EF4">
              <w:rPr>
                <w:rFonts w:cs="Calibri"/>
                <w:b/>
              </w:rPr>
              <w:t>Required action</w:t>
            </w:r>
          </w:p>
        </w:tc>
        <w:tc>
          <w:tcPr>
            <w:tcW w:w="7619" w:type="dxa"/>
            <w:shd w:val="clear" w:color="auto" w:fill="auto"/>
          </w:tcPr>
          <w:p w14:paraId="30DAD721" w14:textId="77777777" w:rsidR="00EE0643" w:rsidRPr="00BF2EF4" w:rsidRDefault="00EE0643" w:rsidP="002A7CE6">
            <w:pPr>
              <w:spacing w:after="120"/>
              <w:rPr>
                <w:rFonts w:cs="Calibri"/>
              </w:rPr>
            </w:pPr>
          </w:p>
        </w:tc>
      </w:tr>
      <w:tr w:rsidR="00EE0643" w:rsidRPr="00DB18B3" w14:paraId="56496B79" w14:textId="77777777" w:rsidTr="002A7CE6">
        <w:tc>
          <w:tcPr>
            <w:tcW w:w="2802" w:type="dxa"/>
            <w:shd w:val="clear" w:color="auto" w:fill="D9D9D9"/>
          </w:tcPr>
          <w:p w14:paraId="686D5A8B" w14:textId="77777777" w:rsidR="00EE0643" w:rsidRPr="00BF2EF4" w:rsidRDefault="00EE0643" w:rsidP="002A7CE6">
            <w:pPr>
              <w:spacing w:after="120"/>
              <w:jc w:val="right"/>
              <w:rPr>
                <w:rFonts w:cs="Calibri"/>
                <w:b/>
              </w:rPr>
            </w:pPr>
            <w:r w:rsidRPr="00BF2EF4">
              <w:rPr>
                <w:rFonts w:cs="Calibri"/>
                <w:b/>
              </w:rPr>
              <w:t>Proposed next step</w:t>
            </w:r>
          </w:p>
        </w:tc>
        <w:tc>
          <w:tcPr>
            <w:tcW w:w="7619" w:type="dxa"/>
            <w:shd w:val="clear" w:color="auto" w:fill="D9D9D9"/>
          </w:tcPr>
          <w:p w14:paraId="463765CE" w14:textId="77777777" w:rsidR="00EE0643" w:rsidRPr="00BF2EF4" w:rsidRDefault="00EE0643" w:rsidP="002A7CE6">
            <w:pPr>
              <w:spacing w:after="120"/>
              <w:rPr>
                <w:rFonts w:cs="Calibri"/>
              </w:rPr>
            </w:pPr>
          </w:p>
        </w:tc>
      </w:tr>
    </w:tbl>
    <w:p w14:paraId="59ACE06A" w14:textId="77777777" w:rsidR="00EE0643" w:rsidRDefault="00EE0643" w:rsidP="00EE0643">
      <w:pPr>
        <w:pStyle w:val="Mainheading"/>
        <w:spacing w:after="0"/>
      </w:pPr>
      <w:r>
        <w:t>Version History</w:t>
      </w:r>
    </w:p>
    <w:p w14:paraId="582A2C15" w14:textId="77777777" w:rsidR="00EE0643" w:rsidRDefault="00EE0643" w:rsidP="00EE0643">
      <w:pPr>
        <w:pStyle w:val="Paragraph"/>
        <w:numPr>
          <w:ilvl w:val="0"/>
          <w:numId w:val="0"/>
        </w:numPr>
        <w:spacing w:before="0"/>
        <w:ind w:left="792" w:hanging="432"/>
      </w:pPr>
    </w:p>
    <w:tbl>
      <w:tblPr>
        <w:tblpPr w:leftFromText="180" w:rightFromText="180" w:vertAnchor="text" w:horzAnchor="margin" w:tblpY="5"/>
        <w:tblW w:w="8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53"/>
        <w:gridCol w:w="1278"/>
        <w:gridCol w:w="6295"/>
      </w:tblGrid>
      <w:tr w:rsidR="00EE0643" w:rsidRPr="00DB18B3" w14:paraId="0BADEE00" w14:textId="77777777" w:rsidTr="00292393">
        <w:trPr>
          <w:trHeight w:val="271"/>
        </w:trPr>
        <w:tc>
          <w:tcPr>
            <w:tcW w:w="1353" w:type="dxa"/>
            <w:shd w:val="clear" w:color="auto" w:fill="auto"/>
          </w:tcPr>
          <w:p w14:paraId="64E9F8D8" w14:textId="77777777" w:rsidR="00EE0643" w:rsidRPr="00BF2EF4" w:rsidRDefault="00EE0643" w:rsidP="002A7CE6">
            <w:pPr>
              <w:spacing w:before="40" w:after="40"/>
              <w:jc w:val="center"/>
              <w:rPr>
                <w:rFonts w:cs="Calibri"/>
                <w:b/>
              </w:rPr>
            </w:pPr>
            <w:r w:rsidRPr="00BF2EF4">
              <w:rPr>
                <w:rFonts w:cs="Calibri"/>
                <w:b/>
              </w:rPr>
              <w:t>Version</w:t>
            </w:r>
          </w:p>
        </w:tc>
        <w:tc>
          <w:tcPr>
            <w:tcW w:w="1278" w:type="dxa"/>
            <w:shd w:val="clear" w:color="auto" w:fill="auto"/>
          </w:tcPr>
          <w:p w14:paraId="7EFC60CA" w14:textId="77777777" w:rsidR="00EE0643" w:rsidRPr="00BF2EF4" w:rsidRDefault="00EE0643" w:rsidP="002A7CE6">
            <w:pPr>
              <w:spacing w:before="40" w:after="40"/>
              <w:jc w:val="center"/>
              <w:rPr>
                <w:rFonts w:cs="Calibri"/>
                <w:b/>
              </w:rPr>
            </w:pPr>
            <w:r w:rsidRPr="00BF2EF4">
              <w:rPr>
                <w:rFonts w:cs="Calibri"/>
                <w:b/>
              </w:rPr>
              <w:t>Date</w:t>
            </w:r>
          </w:p>
        </w:tc>
        <w:tc>
          <w:tcPr>
            <w:tcW w:w="6295" w:type="dxa"/>
            <w:shd w:val="clear" w:color="auto" w:fill="auto"/>
          </w:tcPr>
          <w:p w14:paraId="331A1BEC" w14:textId="77777777" w:rsidR="00EE0643" w:rsidRPr="00BF2EF4" w:rsidRDefault="00EE0643" w:rsidP="002A7CE6">
            <w:pPr>
              <w:spacing w:before="40" w:after="40"/>
              <w:rPr>
                <w:rFonts w:cs="Calibri"/>
                <w:b/>
              </w:rPr>
            </w:pPr>
            <w:r w:rsidRPr="00BF2EF4">
              <w:rPr>
                <w:rFonts w:cs="Calibri"/>
                <w:b/>
              </w:rPr>
              <w:t>Status Note</w:t>
            </w:r>
          </w:p>
        </w:tc>
      </w:tr>
      <w:tr w:rsidR="00EE0643" w:rsidRPr="00DB18B3" w14:paraId="13D8E0AF" w14:textId="77777777" w:rsidTr="00292393">
        <w:tc>
          <w:tcPr>
            <w:tcW w:w="1353" w:type="dxa"/>
            <w:shd w:val="clear" w:color="auto" w:fill="auto"/>
          </w:tcPr>
          <w:p w14:paraId="2A90317F" w14:textId="656C1CB8" w:rsidR="00EE0643" w:rsidRPr="00BF2EF4" w:rsidRDefault="00A66E2B" w:rsidP="002A7CE6">
            <w:pPr>
              <w:spacing w:before="40" w:after="40"/>
              <w:jc w:val="center"/>
              <w:rPr>
                <w:rFonts w:cs="Calibri"/>
              </w:rPr>
            </w:pPr>
            <w:r>
              <w:rPr>
                <w:rFonts w:cs="Calibri"/>
              </w:rPr>
              <w:t>1</w:t>
            </w:r>
          </w:p>
        </w:tc>
        <w:tc>
          <w:tcPr>
            <w:tcW w:w="1278" w:type="dxa"/>
            <w:shd w:val="clear" w:color="auto" w:fill="auto"/>
          </w:tcPr>
          <w:p w14:paraId="78C79127" w14:textId="429300E7" w:rsidR="00EE0643" w:rsidRPr="00BF2EF4" w:rsidRDefault="00A66E2B" w:rsidP="002A7CE6">
            <w:pPr>
              <w:spacing w:before="40" w:after="40"/>
              <w:jc w:val="center"/>
              <w:rPr>
                <w:rFonts w:cs="Calibri"/>
              </w:rPr>
            </w:pPr>
            <w:r>
              <w:rPr>
                <w:rFonts w:cs="Calibri"/>
              </w:rPr>
              <w:t>05.06.2023</w:t>
            </w:r>
          </w:p>
        </w:tc>
        <w:tc>
          <w:tcPr>
            <w:tcW w:w="6295" w:type="dxa"/>
            <w:shd w:val="clear" w:color="auto" w:fill="auto"/>
          </w:tcPr>
          <w:p w14:paraId="1B1871F7" w14:textId="0BD2B369" w:rsidR="00EE0643" w:rsidRPr="00BF2EF4" w:rsidRDefault="00A66E2B" w:rsidP="002A7CE6">
            <w:pPr>
              <w:spacing w:before="40" w:after="40"/>
              <w:rPr>
                <w:rFonts w:cs="Calibri"/>
              </w:rPr>
            </w:pPr>
            <w:r>
              <w:rPr>
                <w:rFonts w:cs="Calibri"/>
              </w:rPr>
              <w:t>HR Template</w:t>
            </w:r>
          </w:p>
        </w:tc>
      </w:tr>
      <w:tr w:rsidR="00EE0643" w:rsidRPr="00DB18B3" w14:paraId="7B1D982F" w14:textId="77777777" w:rsidTr="00292393">
        <w:tc>
          <w:tcPr>
            <w:tcW w:w="1353" w:type="dxa"/>
            <w:shd w:val="clear" w:color="auto" w:fill="auto"/>
          </w:tcPr>
          <w:p w14:paraId="023045C9" w14:textId="6A47BF42" w:rsidR="00EE0643" w:rsidRPr="00BF2EF4" w:rsidRDefault="00EE0643" w:rsidP="002A7CE6">
            <w:pPr>
              <w:spacing w:before="40" w:after="40"/>
              <w:jc w:val="center"/>
              <w:rPr>
                <w:rFonts w:cs="Calibri"/>
              </w:rPr>
            </w:pPr>
          </w:p>
        </w:tc>
        <w:tc>
          <w:tcPr>
            <w:tcW w:w="1278" w:type="dxa"/>
            <w:shd w:val="clear" w:color="auto" w:fill="auto"/>
          </w:tcPr>
          <w:p w14:paraId="10F1E9F1" w14:textId="459B1A2B" w:rsidR="00EE0643" w:rsidRPr="00BF2EF4" w:rsidRDefault="00EE0643" w:rsidP="002A7CE6">
            <w:pPr>
              <w:spacing w:before="40" w:after="40"/>
              <w:jc w:val="center"/>
              <w:rPr>
                <w:rFonts w:cs="Calibri"/>
              </w:rPr>
            </w:pPr>
          </w:p>
        </w:tc>
        <w:tc>
          <w:tcPr>
            <w:tcW w:w="6295" w:type="dxa"/>
            <w:shd w:val="clear" w:color="auto" w:fill="auto"/>
          </w:tcPr>
          <w:p w14:paraId="2BA885B1" w14:textId="124A408D" w:rsidR="00EE0643" w:rsidRPr="00BF2EF4" w:rsidRDefault="00EE0643" w:rsidP="002A7CE6">
            <w:pPr>
              <w:spacing w:before="40" w:after="40"/>
              <w:rPr>
                <w:rFonts w:cs="Calibri"/>
              </w:rPr>
            </w:pPr>
          </w:p>
        </w:tc>
      </w:tr>
      <w:tr w:rsidR="00EE0643" w:rsidRPr="00DB18B3" w14:paraId="7B65AD1A" w14:textId="77777777" w:rsidTr="00292393">
        <w:tc>
          <w:tcPr>
            <w:tcW w:w="1353" w:type="dxa"/>
            <w:shd w:val="clear" w:color="auto" w:fill="auto"/>
          </w:tcPr>
          <w:p w14:paraId="39644ED1" w14:textId="77777777" w:rsidR="00EE0643" w:rsidRPr="00BF2EF4" w:rsidRDefault="00EE0643" w:rsidP="002A7CE6">
            <w:pPr>
              <w:spacing w:before="40" w:after="40"/>
              <w:jc w:val="center"/>
              <w:rPr>
                <w:rFonts w:cs="Calibri"/>
              </w:rPr>
            </w:pPr>
          </w:p>
        </w:tc>
        <w:tc>
          <w:tcPr>
            <w:tcW w:w="1278" w:type="dxa"/>
            <w:shd w:val="clear" w:color="auto" w:fill="auto"/>
          </w:tcPr>
          <w:p w14:paraId="5830789F" w14:textId="77777777" w:rsidR="00EE0643" w:rsidRPr="00BF2EF4" w:rsidRDefault="00EE0643" w:rsidP="002A7CE6">
            <w:pPr>
              <w:spacing w:before="40" w:after="40"/>
              <w:jc w:val="center"/>
              <w:rPr>
                <w:rFonts w:cs="Calibri"/>
              </w:rPr>
            </w:pPr>
          </w:p>
        </w:tc>
        <w:tc>
          <w:tcPr>
            <w:tcW w:w="6295" w:type="dxa"/>
            <w:shd w:val="clear" w:color="auto" w:fill="auto"/>
          </w:tcPr>
          <w:p w14:paraId="56905DA7" w14:textId="77777777" w:rsidR="00EE0643" w:rsidRPr="00BF2EF4" w:rsidRDefault="00EE0643" w:rsidP="002A7CE6">
            <w:pPr>
              <w:spacing w:before="40" w:after="40"/>
              <w:rPr>
                <w:rFonts w:cs="Calibri"/>
              </w:rPr>
            </w:pPr>
          </w:p>
        </w:tc>
      </w:tr>
      <w:tr w:rsidR="00EE0643" w:rsidRPr="00DB18B3" w14:paraId="017C357A" w14:textId="77777777" w:rsidTr="00292393">
        <w:tc>
          <w:tcPr>
            <w:tcW w:w="1353" w:type="dxa"/>
            <w:shd w:val="clear" w:color="auto" w:fill="auto"/>
          </w:tcPr>
          <w:p w14:paraId="06AEABB2" w14:textId="77777777" w:rsidR="00EE0643" w:rsidRPr="00BF2EF4" w:rsidRDefault="00EE0643" w:rsidP="002A7CE6">
            <w:pPr>
              <w:spacing w:before="40" w:after="40"/>
              <w:jc w:val="center"/>
              <w:rPr>
                <w:rFonts w:cs="Calibri"/>
              </w:rPr>
            </w:pPr>
          </w:p>
        </w:tc>
        <w:tc>
          <w:tcPr>
            <w:tcW w:w="1278" w:type="dxa"/>
            <w:shd w:val="clear" w:color="auto" w:fill="auto"/>
          </w:tcPr>
          <w:p w14:paraId="75FD78D8" w14:textId="77777777" w:rsidR="00EE0643" w:rsidRPr="00BF2EF4" w:rsidRDefault="00EE0643" w:rsidP="002A7CE6">
            <w:pPr>
              <w:spacing w:before="40" w:after="40"/>
              <w:jc w:val="center"/>
              <w:rPr>
                <w:rFonts w:cs="Calibri"/>
              </w:rPr>
            </w:pPr>
          </w:p>
        </w:tc>
        <w:tc>
          <w:tcPr>
            <w:tcW w:w="6295" w:type="dxa"/>
            <w:shd w:val="clear" w:color="auto" w:fill="auto"/>
          </w:tcPr>
          <w:p w14:paraId="1811E49E" w14:textId="77777777" w:rsidR="00EE0643" w:rsidRPr="00BF2EF4" w:rsidRDefault="00EE0643" w:rsidP="002A7CE6">
            <w:pPr>
              <w:spacing w:before="40" w:after="40"/>
              <w:rPr>
                <w:rFonts w:cs="Calibri"/>
              </w:rPr>
            </w:pPr>
          </w:p>
        </w:tc>
      </w:tr>
      <w:tr w:rsidR="00EE0643" w:rsidRPr="00DB18B3" w14:paraId="12C190B7" w14:textId="77777777" w:rsidTr="00292393">
        <w:tc>
          <w:tcPr>
            <w:tcW w:w="1353" w:type="dxa"/>
            <w:shd w:val="clear" w:color="auto" w:fill="auto"/>
          </w:tcPr>
          <w:p w14:paraId="151C4604" w14:textId="77777777" w:rsidR="00EE0643" w:rsidRPr="00BF2EF4" w:rsidRDefault="00EE0643" w:rsidP="002A7CE6">
            <w:pPr>
              <w:spacing w:before="40" w:after="40"/>
              <w:jc w:val="center"/>
              <w:rPr>
                <w:rFonts w:cs="Calibri"/>
              </w:rPr>
            </w:pPr>
          </w:p>
        </w:tc>
        <w:tc>
          <w:tcPr>
            <w:tcW w:w="1278" w:type="dxa"/>
            <w:shd w:val="clear" w:color="auto" w:fill="auto"/>
          </w:tcPr>
          <w:p w14:paraId="78B6BFDF" w14:textId="77777777" w:rsidR="00EE0643" w:rsidRPr="00BF2EF4" w:rsidRDefault="00EE0643" w:rsidP="002A7CE6">
            <w:pPr>
              <w:spacing w:before="40" w:after="40"/>
              <w:jc w:val="center"/>
              <w:rPr>
                <w:rFonts w:cs="Calibri"/>
              </w:rPr>
            </w:pPr>
          </w:p>
        </w:tc>
        <w:tc>
          <w:tcPr>
            <w:tcW w:w="6295" w:type="dxa"/>
            <w:shd w:val="clear" w:color="auto" w:fill="auto"/>
          </w:tcPr>
          <w:p w14:paraId="15EBD11A" w14:textId="77777777" w:rsidR="00EE0643" w:rsidRPr="00BF2EF4" w:rsidRDefault="00EE0643" w:rsidP="002A7CE6">
            <w:pPr>
              <w:spacing w:before="40" w:after="40"/>
              <w:rPr>
                <w:rFonts w:cs="Calibri"/>
              </w:rPr>
            </w:pPr>
          </w:p>
        </w:tc>
      </w:tr>
      <w:tr w:rsidR="00EE0643" w:rsidRPr="00DB18B3" w14:paraId="5B2DBD81" w14:textId="77777777" w:rsidTr="00292393">
        <w:tc>
          <w:tcPr>
            <w:tcW w:w="1353" w:type="dxa"/>
            <w:shd w:val="clear" w:color="auto" w:fill="auto"/>
          </w:tcPr>
          <w:p w14:paraId="26D96DC9" w14:textId="77777777" w:rsidR="00EE0643" w:rsidRPr="00BF2EF4" w:rsidRDefault="00EE0643" w:rsidP="002A7CE6">
            <w:pPr>
              <w:spacing w:before="40" w:after="40"/>
              <w:jc w:val="center"/>
              <w:rPr>
                <w:rFonts w:cs="Calibri"/>
              </w:rPr>
            </w:pPr>
          </w:p>
        </w:tc>
        <w:tc>
          <w:tcPr>
            <w:tcW w:w="1278" w:type="dxa"/>
            <w:shd w:val="clear" w:color="auto" w:fill="auto"/>
          </w:tcPr>
          <w:p w14:paraId="7E557F6C" w14:textId="77777777" w:rsidR="00EE0643" w:rsidRPr="00BF2EF4" w:rsidRDefault="00EE0643" w:rsidP="002A7CE6">
            <w:pPr>
              <w:spacing w:before="40" w:after="40"/>
              <w:jc w:val="center"/>
              <w:rPr>
                <w:rFonts w:cs="Calibri"/>
              </w:rPr>
            </w:pPr>
          </w:p>
        </w:tc>
        <w:tc>
          <w:tcPr>
            <w:tcW w:w="6295" w:type="dxa"/>
            <w:shd w:val="clear" w:color="auto" w:fill="auto"/>
          </w:tcPr>
          <w:p w14:paraId="31065669" w14:textId="77777777" w:rsidR="00EE0643" w:rsidRPr="00BF2EF4" w:rsidRDefault="00EE0643" w:rsidP="002A7CE6">
            <w:pPr>
              <w:spacing w:before="40" w:after="40"/>
              <w:rPr>
                <w:rFonts w:cs="Calibri"/>
              </w:rPr>
            </w:pPr>
          </w:p>
        </w:tc>
      </w:tr>
    </w:tbl>
    <w:p w14:paraId="04CBE305" w14:textId="77777777" w:rsidR="00EE0643" w:rsidRDefault="00EE0643" w:rsidP="00EE0643">
      <w:pPr>
        <w:ind w:firstLine="19"/>
        <w:rPr>
          <w:rFonts w:cs="Calibri"/>
          <w:sz w:val="56"/>
          <w:szCs w:val="56"/>
        </w:rPr>
      </w:pPr>
    </w:p>
    <w:p w14:paraId="1CD0F289" w14:textId="77777777" w:rsidR="00EE0643" w:rsidRDefault="00EE0643" w:rsidP="00EE0643">
      <w:pPr>
        <w:ind w:firstLine="19"/>
        <w:rPr>
          <w:rFonts w:cs="Calibri"/>
          <w:sz w:val="56"/>
          <w:szCs w:val="56"/>
        </w:rPr>
      </w:pPr>
    </w:p>
    <w:p w14:paraId="16F542B2" w14:textId="77777777" w:rsidR="00EE0643" w:rsidRDefault="00EE0643" w:rsidP="00EE0643">
      <w:pPr>
        <w:ind w:firstLine="19"/>
        <w:rPr>
          <w:rFonts w:cs="Calibri"/>
          <w:sz w:val="56"/>
          <w:szCs w:val="56"/>
        </w:rPr>
      </w:pPr>
    </w:p>
    <w:p w14:paraId="5A0C60BB" w14:textId="77777777" w:rsidR="00EE0643" w:rsidRDefault="00EE0643" w:rsidP="00EE0643">
      <w:pPr>
        <w:ind w:firstLine="19"/>
        <w:rPr>
          <w:rFonts w:cs="Calibri"/>
          <w:sz w:val="56"/>
          <w:szCs w:val="56"/>
        </w:rPr>
      </w:pPr>
    </w:p>
    <w:p w14:paraId="05244D86" w14:textId="5D81266F" w:rsidR="00EE0643" w:rsidRPr="00A86655" w:rsidRDefault="00EE0643" w:rsidP="000D1587">
      <w:pPr>
        <w:spacing w:before="0"/>
      </w:pPr>
      <w:r>
        <w:rPr>
          <w:rFonts w:cs="Calibri"/>
          <w:sz w:val="56"/>
          <w:szCs w:val="56"/>
        </w:rPr>
        <w:br w:type="page"/>
      </w:r>
    </w:p>
    <w:p w14:paraId="5CBEB025" w14:textId="14C58883" w:rsidR="00EE0643" w:rsidRDefault="000856EE" w:rsidP="00EE0643">
      <w:pPr>
        <w:pStyle w:val="Mainhead"/>
        <w:spacing w:before="240" w:after="240"/>
        <w:ind w:left="357" w:hanging="357"/>
      </w:pPr>
      <w:r>
        <w:lastRenderedPageBreak/>
        <w:t>Holiday and Holiday Pay</w:t>
      </w:r>
    </w:p>
    <w:p w14:paraId="5D171A0B" w14:textId="79A2F8DB" w:rsidR="00CC55DB" w:rsidRDefault="00CC55DB" w:rsidP="00CC55DB">
      <w:pPr>
        <w:pStyle w:val="HbkHeading3"/>
        <w:numPr>
          <w:ilvl w:val="0"/>
          <w:numId w:val="0"/>
        </w:numPr>
        <w:tabs>
          <w:tab w:val="num" w:pos="1571"/>
        </w:tabs>
        <w:ind w:left="567"/>
        <w:rPr>
          <w:rFonts w:asciiTheme="majorHAnsi" w:hAnsiTheme="majorHAnsi" w:cstheme="majorHAnsi"/>
          <w:i/>
          <w:iCs/>
          <w:snapToGrid w:val="0"/>
          <w:color w:val="2E74B5" w:themeColor="accent5" w:themeShade="BF"/>
          <w:szCs w:val="20"/>
          <w:lang w:val="en-US"/>
        </w:rPr>
      </w:pPr>
      <w:r>
        <w:rPr>
          <w:rFonts w:asciiTheme="majorHAnsi" w:hAnsiTheme="majorHAnsi" w:cstheme="majorHAnsi"/>
          <w:snapToGrid w:val="0"/>
          <w:szCs w:val="20"/>
          <w:lang w:val="en-US"/>
        </w:rPr>
        <w:t>Annual Leave</w:t>
      </w:r>
      <w:r w:rsidRPr="00CC55DB">
        <w:rPr>
          <w:rFonts w:asciiTheme="majorHAnsi" w:hAnsiTheme="majorHAnsi" w:cstheme="majorHAnsi"/>
          <w:snapToGrid w:val="0"/>
          <w:szCs w:val="20"/>
          <w:lang w:val="en-US"/>
        </w:rPr>
        <w:t xml:space="preserve"> is an important time to rest and recuperate from the daily pressures of work. </w:t>
      </w:r>
    </w:p>
    <w:p w14:paraId="04F84FA5" w14:textId="77777777" w:rsidR="000856EE" w:rsidRPr="00CC55DB" w:rsidRDefault="000856EE" w:rsidP="000856EE">
      <w:pPr>
        <w:pStyle w:val="Paragraph"/>
        <w:ind w:hanging="574"/>
        <w:rPr>
          <w:sz w:val="24"/>
          <w:szCs w:val="24"/>
        </w:rPr>
      </w:pPr>
      <w:r w:rsidRPr="00CC55DB">
        <w:rPr>
          <w:sz w:val="24"/>
          <w:szCs w:val="24"/>
        </w:rPr>
        <w:t>The holiday year runs from 1 January to the 31 December.</w:t>
      </w:r>
    </w:p>
    <w:p w14:paraId="2F7A4290" w14:textId="77777777" w:rsidR="000856EE" w:rsidRPr="00CC55DB" w:rsidRDefault="000856EE" w:rsidP="000856EE">
      <w:pPr>
        <w:pStyle w:val="Paragraph"/>
        <w:ind w:hanging="574"/>
        <w:rPr>
          <w:sz w:val="24"/>
          <w:szCs w:val="24"/>
        </w:rPr>
      </w:pPr>
      <w:r w:rsidRPr="00CC55DB">
        <w:rPr>
          <w:sz w:val="24"/>
          <w:szCs w:val="24"/>
        </w:rPr>
        <w:t xml:space="preserve">Part of your holiday may be fixed by the Company. Details of the following year’s holiday pattern will be given to you each year by 30 November. </w:t>
      </w:r>
    </w:p>
    <w:p w14:paraId="589B091E" w14:textId="77777777" w:rsidR="000856EE" w:rsidRPr="00CC55DB" w:rsidRDefault="000856EE" w:rsidP="000856EE">
      <w:pPr>
        <w:pStyle w:val="Paragraph"/>
        <w:ind w:hanging="574"/>
        <w:rPr>
          <w:sz w:val="24"/>
          <w:szCs w:val="24"/>
        </w:rPr>
      </w:pPr>
      <w:r w:rsidRPr="00CC55DB">
        <w:rPr>
          <w:sz w:val="24"/>
          <w:szCs w:val="24"/>
        </w:rPr>
        <w:t xml:space="preserve">Basic holiday entitlement is </w:t>
      </w:r>
      <w:commentRangeStart w:id="0"/>
      <w:r w:rsidRPr="00CC55DB">
        <w:rPr>
          <w:sz w:val="24"/>
          <w:szCs w:val="24"/>
        </w:rPr>
        <w:t xml:space="preserve">25 </w:t>
      </w:r>
      <w:commentRangeEnd w:id="0"/>
      <w:r w:rsidR="00A66E2B">
        <w:rPr>
          <w:rStyle w:val="CommentReference"/>
          <w:rFonts w:cs="Times New Roman"/>
        </w:rPr>
        <w:commentReference w:id="0"/>
      </w:r>
      <w:r w:rsidRPr="00CC55DB">
        <w:rPr>
          <w:sz w:val="24"/>
          <w:szCs w:val="24"/>
        </w:rPr>
        <w:t>working days in addition to the 8 usual Public Holidays unless stated otherwise in your Statement of Main Terms and Conditions. If you are a part time employee, you will receive a pro-rata entitlement based upon the number of hours that you work each week.</w:t>
      </w:r>
    </w:p>
    <w:p w14:paraId="5FE193F6" w14:textId="77777777" w:rsidR="000856EE" w:rsidRPr="00CC55DB" w:rsidRDefault="000856EE" w:rsidP="000856EE">
      <w:pPr>
        <w:pStyle w:val="Paragraph"/>
        <w:ind w:hanging="574"/>
        <w:rPr>
          <w:sz w:val="24"/>
          <w:szCs w:val="24"/>
        </w:rPr>
      </w:pPr>
      <w:r w:rsidRPr="00CC55DB">
        <w:rPr>
          <w:sz w:val="24"/>
          <w:szCs w:val="24"/>
        </w:rPr>
        <w:t xml:space="preserve">Holiday periods must be agreed with your Line Manager in advance of any commitments being made.  </w:t>
      </w:r>
    </w:p>
    <w:p w14:paraId="601C18F2" w14:textId="77777777" w:rsidR="000856EE" w:rsidRPr="00CC55DB" w:rsidRDefault="000856EE" w:rsidP="000856EE">
      <w:pPr>
        <w:pStyle w:val="Paragraph"/>
        <w:ind w:hanging="574"/>
        <w:rPr>
          <w:sz w:val="24"/>
          <w:szCs w:val="24"/>
        </w:rPr>
      </w:pPr>
      <w:r w:rsidRPr="00CC55DB">
        <w:rPr>
          <w:sz w:val="24"/>
          <w:szCs w:val="24"/>
        </w:rPr>
        <w:t xml:space="preserve">The minimum period of notice is twice the time to be taken as holiday.  </w:t>
      </w:r>
    </w:p>
    <w:p w14:paraId="1A1B64F6" w14:textId="14337C57" w:rsidR="000856EE" w:rsidRPr="00CC55DB" w:rsidRDefault="000856EE" w:rsidP="000856EE">
      <w:pPr>
        <w:pStyle w:val="Paragraph"/>
        <w:ind w:hanging="574"/>
        <w:rPr>
          <w:sz w:val="24"/>
          <w:szCs w:val="24"/>
        </w:rPr>
      </w:pPr>
      <w:r w:rsidRPr="00CC55DB">
        <w:rPr>
          <w:sz w:val="24"/>
          <w:szCs w:val="24"/>
        </w:rPr>
        <w:t xml:space="preserve">Owing to the nature and size of the organization, holiday periods should not extend to more than 15 working days. Should you wish to take more than 15 consecutive working days then you will need the written permission of the </w:t>
      </w:r>
      <w:r w:rsidR="00A66E2B" w:rsidRPr="00A66E2B">
        <w:rPr>
          <w:sz w:val="24"/>
          <w:szCs w:val="24"/>
          <w:highlight w:val="yellow"/>
        </w:rPr>
        <w:t>PCC/BOARD/TRUSTEES</w:t>
      </w:r>
      <w:r w:rsidRPr="00CC55DB">
        <w:rPr>
          <w:sz w:val="24"/>
          <w:szCs w:val="24"/>
        </w:rPr>
        <w:t>.</w:t>
      </w:r>
    </w:p>
    <w:p w14:paraId="2D70B24C" w14:textId="77777777" w:rsidR="000856EE" w:rsidRPr="00CC55DB" w:rsidRDefault="000856EE" w:rsidP="000856EE">
      <w:pPr>
        <w:pStyle w:val="Paragraph"/>
        <w:ind w:hanging="574"/>
        <w:rPr>
          <w:sz w:val="24"/>
          <w:szCs w:val="24"/>
        </w:rPr>
      </w:pPr>
      <w:r w:rsidRPr="00CC55DB">
        <w:rPr>
          <w:sz w:val="24"/>
          <w:szCs w:val="24"/>
        </w:rPr>
        <w:t>The Company encourages all employees to take their full holiday entitlement in the holiday year.  Any holiday entitlement not taken within the holiday year will be lost.</w:t>
      </w:r>
    </w:p>
    <w:p w14:paraId="3611AFCD" w14:textId="27E322A4" w:rsidR="000856EE" w:rsidRPr="00CC55DB" w:rsidRDefault="000856EE" w:rsidP="000856EE">
      <w:pPr>
        <w:pStyle w:val="Paragraph"/>
        <w:ind w:hanging="574"/>
        <w:rPr>
          <w:sz w:val="24"/>
          <w:szCs w:val="24"/>
        </w:rPr>
      </w:pPr>
      <w:r w:rsidRPr="00CC55DB">
        <w:rPr>
          <w:sz w:val="24"/>
          <w:szCs w:val="24"/>
        </w:rPr>
        <w:t>Starters and Leavers during the year will receive a pro rata entitlement to annual leave.</w:t>
      </w:r>
    </w:p>
    <w:p w14:paraId="047A8211" w14:textId="77777777" w:rsidR="000856EE" w:rsidRPr="00CC55DB" w:rsidRDefault="000856EE" w:rsidP="000856EE">
      <w:pPr>
        <w:pStyle w:val="Paragraph"/>
        <w:ind w:left="993" w:hanging="574"/>
        <w:rPr>
          <w:sz w:val="24"/>
          <w:szCs w:val="24"/>
        </w:rPr>
      </w:pPr>
      <w:r w:rsidRPr="00CC55DB">
        <w:rPr>
          <w:sz w:val="24"/>
          <w:szCs w:val="24"/>
        </w:rPr>
        <w:t>Should you leave the employment of the Company, your full entitlement to paid holiday will be calculated on a pro rata basis per completed working day of service, less any leave taken during the holiday year. If the holiday taken exceeds your holiday entitlement, then by acceptance of this Staff Handbook, you accept that the Company has the right to deduct this from any money owing to you at the time of your leaving. Where your entitlement exceeds the amount of leave you have taken during the year, you will be paid this in your final pay.</w:t>
      </w:r>
    </w:p>
    <w:sectPr w:rsidR="000856EE" w:rsidRPr="00CC55DB" w:rsidSect="00EE0643">
      <w:pgSz w:w="11906" w:h="16838"/>
      <w:pgMar w:top="851" w:right="1440" w:bottom="1440" w:left="1440" w:header="1293"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e Smith" w:date="2023-06-05T12:53:00Z" w:initials="SS">
    <w:p w14:paraId="20D93B7D" w14:textId="77777777" w:rsidR="00A66E2B" w:rsidRDefault="00A66E2B" w:rsidP="00F24481">
      <w:pPr>
        <w:pStyle w:val="CommentText"/>
      </w:pPr>
      <w:r>
        <w:rPr>
          <w:rStyle w:val="CommentReference"/>
        </w:rPr>
        <w:annotationRef/>
      </w:r>
      <w:r>
        <w:rPr>
          <w:lang w:val="en-US"/>
        </w:rPr>
        <w:t>Amend to PCC rules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D93B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8592C" w16cex:dateUtc="2023-06-05T1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D93B7D" w16cid:durableId="282859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3C312" w14:textId="77777777" w:rsidR="00EE0643" w:rsidRDefault="00EE0643" w:rsidP="00EE0643">
      <w:pPr>
        <w:spacing w:before="0"/>
      </w:pPr>
      <w:r>
        <w:separator/>
      </w:r>
    </w:p>
  </w:endnote>
  <w:endnote w:type="continuationSeparator" w:id="0">
    <w:p w14:paraId="7FBEF40D" w14:textId="77777777" w:rsidR="00EE0643" w:rsidRDefault="00EE0643" w:rsidP="00EE064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69B2" w14:textId="77777777" w:rsidR="00EE0643" w:rsidRDefault="00EE0643" w:rsidP="00EE0643">
      <w:pPr>
        <w:spacing w:before="0"/>
      </w:pPr>
      <w:r>
        <w:separator/>
      </w:r>
    </w:p>
  </w:footnote>
  <w:footnote w:type="continuationSeparator" w:id="0">
    <w:p w14:paraId="7A6EF3E2" w14:textId="77777777" w:rsidR="00EE0643" w:rsidRDefault="00EE0643" w:rsidP="00EE064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532D"/>
    <w:multiLevelType w:val="hybridMultilevel"/>
    <w:tmpl w:val="3802327E"/>
    <w:lvl w:ilvl="0" w:tplc="0809001B">
      <w:start w:val="1"/>
      <w:numFmt w:val="lowerRoman"/>
      <w:lvlText w:val="%1."/>
      <w:lvlJc w:val="right"/>
      <w:pPr>
        <w:ind w:left="774" w:hanging="360"/>
      </w:pPr>
      <w:rPr>
        <w:rFonts w:hint="default"/>
      </w:rPr>
    </w:lvl>
    <w:lvl w:ilvl="1" w:tplc="FFFFFFFF">
      <w:numFmt w:val="bullet"/>
      <w:lvlText w:val="•"/>
      <w:lvlJc w:val="left"/>
      <w:pPr>
        <w:ind w:left="1494" w:hanging="360"/>
      </w:pPr>
      <w:rPr>
        <w:rFonts w:ascii="Calibri" w:eastAsia="Calibri" w:hAnsi="Calibri" w:cs="Calibri"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1" w15:restartNumberingAfterBreak="0">
    <w:nsid w:val="1D266782"/>
    <w:multiLevelType w:val="multilevel"/>
    <w:tmpl w:val="89DC425C"/>
    <w:lvl w:ilvl="0">
      <w:start w:val="1"/>
      <w:numFmt w:val="decimal"/>
      <w:pStyle w:val="Mainhead"/>
      <w:lvlText w:val="%1."/>
      <w:lvlJc w:val="left"/>
      <w:pPr>
        <w:ind w:left="360" w:hanging="360"/>
      </w:pPr>
      <w:rPr>
        <w:rFonts w:hint="default"/>
      </w:rPr>
    </w:lvl>
    <w:lvl w:ilvl="1">
      <w:start w:val="1"/>
      <w:numFmt w:val="decimal"/>
      <w:pStyle w:val="Paragraph"/>
      <w:lvlText w:val="%1.%2."/>
      <w:lvlJc w:val="left"/>
      <w:pPr>
        <w:ind w:left="27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ub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7AD208B"/>
    <w:multiLevelType w:val="hybridMultilevel"/>
    <w:tmpl w:val="95A08904"/>
    <w:lvl w:ilvl="0" w:tplc="EDB24A7A">
      <w:start w:val="1"/>
      <w:numFmt w:val="lowerRoman"/>
      <w:pStyle w:val="Numerals"/>
      <w:lvlText w:val="%1."/>
      <w:lvlJc w:val="left"/>
      <w:pPr>
        <w:ind w:left="1440" w:hanging="720"/>
      </w:pPr>
      <w:rPr>
        <w:rFonts w:hint="default"/>
        <w:sz w:val="22"/>
        <w:szCs w:val="22"/>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D5F0D53"/>
    <w:multiLevelType w:val="multilevel"/>
    <w:tmpl w:val="E81895B4"/>
    <w:lvl w:ilvl="0">
      <w:start w:val="1"/>
      <w:numFmt w:val="decimal"/>
      <w:pStyle w:val="HbkHeading2"/>
      <w:lvlText w:val="%1"/>
      <w:lvlJc w:val="left"/>
      <w:pPr>
        <w:tabs>
          <w:tab w:val="num" w:pos="720"/>
        </w:tabs>
        <w:ind w:left="720" w:hanging="720"/>
      </w:pPr>
      <w:rPr>
        <w:rFonts w:hint="default"/>
      </w:rPr>
    </w:lvl>
    <w:lvl w:ilvl="1">
      <w:start w:val="1"/>
      <w:numFmt w:val="decimal"/>
      <w:pStyle w:val="HbkHeading3"/>
      <w:lvlText w:val="%1.%2"/>
      <w:lvlJc w:val="left"/>
      <w:pPr>
        <w:tabs>
          <w:tab w:val="num" w:pos="1571"/>
        </w:tabs>
        <w:ind w:left="1571" w:hanging="720"/>
      </w:pPr>
      <w:rPr>
        <w:rFonts w:asciiTheme="majorHAnsi" w:hAnsiTheme="majorHAnsi" w:cstheme="majorHAnsi" w:hint="default"/>
        <w:b w:val="0"/>
        <w:color w:val="auto"/>
      </w:rPr>
    </w:lvl>
    <w:lvl w:ilvl="2">
      <w:start w:val="1"/>
      <w:numFmt w:val="decimal"/>
      <w:pStyle w:val="HbkHeading4"/>
      <w:lvlText w:val="%1.%2.%3"/>
      <w:lvlJc w:val="left"/>
      <w:pPr>
        <w:tabs>
          <w:tab w:val="num" w:pos="2160"/>
        </w:tabs>
        <w:ind w:left="2160" w:hanging="720"/>
      </w:pPr>
      <w:rPr>
        <w:rFonts w:hint="default"/>
      </w:rPr>
    </w:lvl>
    <w:lvl w:ilvl="3">
      <w:start w:val="1"/>
      <w:numFmt w:val="decimal"/>
      <w:lvlText w:val="%1.%2.%3.%4"/>
      <w:lvlJc w:val="left"/>
      <w:pPr>
        <w:tabs>
          <w:tab w:val="num" w:pos="3240"/>
        </w:tabs>
        <w:ind w:left="2880" w:hanging="720"/>
      </w:pPr>
      <w:rPr>
        <w:rFonts w:hint="default"/>
      </w:rPr>
    </w:lvl>
    <w:lvl w:ilvl="4">
      <w:start w:val="1"/>
      <w:numFmt w:val="decimal"/>
      <w:lvlText w:val="%1.%2.%3.%4.%5"/>
      <w:lvlJc w:val="left"/>
      <w:pPr>
        <w:tabs>
          <w:tab w:val="num" w:pos="3960"/>
        </w:tabs>
        <w:ind w:left="3600" w:hanging="72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4FF82321"/>
    <w:multiLevelType w:val="hybridMultilevel"/>
    <w:tmpl w:val="1E9CC3B0"/>
    <w:lvl w:ilvl="0" w:tplc="B94C4E46">
      <w:start w:val="1"/>
      <w:numFmt w:val="bullet"/>
      <w:pStyle w:val="Bullet"/>
      <w:lvlText w:val=""/>
      <w:lvlJc w:val="left"/>
      <w:pPr>
        <w:ind w:left="774" w:hanging="360"/>
      </w:pPr>
      <w:rPr>
        <w:rFonts w:ascii="Symbol" w:hAnsi="Symbol" w:hint="default"/>
      </w:rPr>
    </w:lvl>
    <w:lvl w:ilvl="1" w:tplc="E1180D66">
      <w:numFmt w:val="bullet"/>
      <w:lvlText w:val="•"/>
      <w:lvlJc w:val="left"/>
      <w:pPr>
        <w:ind w:left="1494" w:hanging="360"/>
      </w:pPr>
      <w:rPr>
        <w:rFonts w:ascii="Calibri" w:eastAsia="Calibri"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 w15:restartNumberingAfterBreak="0">
    <w:nsid w:val="5B06319A"/>
    <w:multiLevelType w:val="hybridMultilevel"/>
    <w:tmpl w:val="53847B6E"/>
    <w:lvl w:ilvl="0" w:tplc="08090001">
      <w:start w:val="1"/>
      <w:numFmt w:val="bullet"/>
      <w:lvlText w:val=""/>
      <w:lvlJc w:val="left"/>
      <w:pPr>
        <w:ind w:left="1720" w:hanging="360"/>
      </w:pPr>
      <w:rPr>
        <w:rFonts w:ascii="Symbol" w:hAnsi="Symbol" w:hint="default"/>
      </w:rPr>
    </w:lvl>
    <w:lvl w:ilvl="1" w:tplc="08090003">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num w:numId="1" w16cid:durableId="664167025">
    <w:abstractNumId w:val="1"/>
  </w:num>
  <w:num w:numId="2" w16cid:durableId="1408186893">
    <w:abstractNumId w:val="4"/>
  </w:num>
  <w:num w:numId="3" w16cid:durableId="434985125">
    <w:abstractNumId w:val="2"/>
  </w:num>
  <w:num w:numId="4" w16cid:durableId="1422485485">
    <w:abstractNumId w:val="5"/>
  </w:num>
  <w:num w:numId="5" w16cid:durableId="1184589254">
    <w:abstractNumId w:val="2"/>
    <w:lvlOverride w:ilvl="0">
      <w:startOverride w:val="1"/>
    </w:lvlOverride>
  </w:num>
  <w:num w:numId="6" w16cid:durableId="1456676048">
    <w:abstractNumId w:val="0"/>
  </w:num>
  <w:num w:numId="7" w16cid:durableId="154671909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43"/>
    <w:rsid w:val="000856EE"/>
    <w:rsid w:val="000D1587"/>
    <w:rsid w:val="00235CD5"/>
    <w:rsid w:val="00292393"/>
    <w:rsid w:val="00431CB6"/>
    <w:rsid w:val="00590951"/>
    <w:rsid w:val="007B561D"/>
    <w:rsid w:val="00A66E2B"/>
    <w:rsid w:val="00CC55DB"/>
    <w:rsid w:val="00EE0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93B63"/>
  <w15:chartTrackingRefBased/>
  <w15:docId w15:val="{83F97D5B-49DB-422F-B3BA-7004F1A8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0643"/>
    <w:pPr>
      <w:spacing w:before="120"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qFormat/>
    <w:rsid w:val="00EE0643"/>
    <w:pPr>
      <w:numPr>
        <w:ilvl w:val="1"/>
        <w:numId w:val="1"/>
      </w:numPr>
      <w:ind w:left="1000"/>
    </w:pPr>
    <w:rPr>
      <w:rFonts w:cs="Calibri"/>
    </w:rPr>
  </w:style>
  <w:style w:type="paragraph" w:customStyle="1" w:styleId="Mainhead">
    <w:name w:val="Main head"/>
    <w:basedOn w:val="Normal"/>
    <w:link w:val="MainheadChar"/>
    <w:qFormat/>
    <w:rsid w:val="00EE0643"/>
    <w:pPr>
      <w:numPr>
        <w:numId w:val="1"/>
      </w:numPr>
      <w:spacing w:before="480" w:after="360"/>
    </w:pPr>
    <w:rPr>
      <w:rFonts w:cs="Calibri"/>
      <w:sz w:val="48"/>
      <w:szCs w:val="48"/>
    </w:rPr>
  </w:style>
  <w:style w:type="character" w:customStyle="1" w:styleId="ParagraphChar">
    <w:name w:val="Paragraph Char"/>
    <w:link w:val="Paragraph"/>
    <w:rsid w:val="00EE0643"/>
    <w:rPr>
      <w:rFonts w:ascii="Calibri" w:eastAsia="Calibri" w:hAnsi="Calibri" w:cs="Calibri"/>
    </w:rPr>
  </w:style>
  <w:style w:type="paragraph" w:customStyle="1" w:styleId="Bullet">
    <w:name w:val="Bullet"/>
    <w:basedOn w:val="Normal"/>
    <w:link w:val="BulletChar"/>
    <w:qFormat/>
    <w:rsid w:val="00EE0643"/>
    <w:pPr>
      <w:numPr>
        <w:numId w:val="2"/>
      </w:numPr>
      <w:spacing w:before="60"/>
      <w:ind w:left="1134" w:hanging="357"/>
    </w:pPr>
    <w:rPr>
      <w:rFonts w:cs="Calibri"/>
    </w:rPr>
  </w:style>
  <w:style w:type="character" w:customStyle="1" w:styleId="MainheadChar">
    <w:name w:val="Main head Char"/>
    <w:link w:val="Mainhead"/>
    <w:rsid w:val="00EE0643"/>
    <w:rPr>
      <w:rFonts w:ascii="Calibri" w:eastAsia="Calibri" w:hAnsi="Calibri" w:cs="Calibri"/>
      <w:sz w:val="48"/>
      <w:szCs w:val="48"/>
    </w:rPr>
  </w:style>
  <w:style w:type="character" w:customStyle="1" w:styleId="BulletChar">
    <w:name w:val="Bullet Char"/>
    <w:link w:val="Bullet"/>
    <w:rsid w:val="00EE0643"/>
    <w:rPr>
      <w:rFonts w:ascii="Calibri" w:eastAsia="Calibri" w:hAnsi="Calibri" w:cs="Calibri"/>
    </w:rPr>
  </w:style>
  <w:style w:type="paragraph" w:customStyle="1" w:styleId="Numerals">
    <w:name w:val="Numerals"/>
    <w:basedOn w:val="Paragraph"/>
    <w:link w:val="NumeralsChar"/>
    <w:qFormat/>
    <w:rsid w:val="00EE0643"/>
    <w:pPr>
      <w:numPr>
        <w:ilvl w:val="0"/>
        <w:numId w:val="3"/>
      </w:numPr>
    </w:pPr>
  </w:style>
  <w:style w:type="paragraph" w:customStyle="1" w:styleId="SubParagraph">
    <w:name w:val="Sub Paragraph"/>
    <w:basedOn w:val="Paragraph"/>
    <w:link w:val="SubParagraphChar"/>
    <w:qFormat/>
    <w:rsid w:val="00EE0643"/>
    <w:pPr>
      <w:numPr>
        <w:ilvl w:val="2"/>
      </w:numPr>
    </w:pPr>
  </w:style>
  <w:style w:type="character" w:customStyle="1" w:styleId="NumeralsChar">
    <w:name w:val="Numerals Char"/>
    <w:basedOn w:val="ParagraphChar"/>
    <w:link w:val="Numerals"/>
    <w:rsid w:val="00EE0643"/>
    <w:rPr>
      <w:rFonts w:ascii="Calibri" w:eastAsia="Calibri" w:hAnsi="Calibri" w:cs="Calibri"/>
    </w:rPr>
  </w:style>
  <w:style w:type="character" w:customStyle="1" w:styleId="SubParagraphChar">
    <w:name w:val="Sub Paragraph Char"/>
    <w:basedOn w:val="ParagraphChar"/>
    <w:link w:val="SubParagraph"/>
    <w:rsid w:val="00EE0643"/>
    <w:rPr>
      <w:rFonts w:ascii="Calibri" w:eastAsia="Calibri" w:hAnsi="Calibri" w:cs="Calibri"/>
    </w:rPr>
  </w:style>
  <w:style w:type="paragraph" w:customStyle="1" w:styleId="Mainheading">
    <w:name w:val="Main heading"/>
    <w:basedOn w:val="Normal"/>
    <w:link w:val="MainheadingChar"/>
    <w:qFormat/>
    <w:rsid w:val="00EE0643"/>
    <w:pPr>
      <w:spacing w:before="360" w:after="360"/>
    </w:pPr>
    <w:rPr>
      <w:rFonts w:cs="Calibri"/>
      <w:sz w:val="48"/>
      <w:szCs w:val="48"/>
    </w:rPr>
  </w:style>
  <w:style w:type="character" w:customStyle="1" w:styleId="MainheadingChar">
    <w:name w:val="Main heading Char"/>
    <w:link w:val="Mainheading"/>
    <w:rsid w:val="00EE0643"/>
    <w:rPr>
      <w:rFonts w:ascii="Calibri" w:eastAsia="Calibri" w:hAnsi="Calibri" w:cs="Calibri"/>
      <w:sz w:val="48"/>
      <w:szCs w:val="48"/>
    </w:rPr>
  </w:style>
  <w:style w:type="paragraph" w:styleId="Header">
    <w:name w:val="header"/>
    <w:basedOn w:val="Normal"/>
    <w:link w:val="HeaderChar"/>
    <w:uiPriority w:val="99"/>
    <w:unhideWhenUsed/>
    <w:rsid w:val="00EE0643"/>
    <w:pPr>
      <w:tabs>
        <w:tab w:val="center" w:pos="4513"/>
        <w:tab w:val="right" w:pos="9026"/>
      </w:tabs>
      <w:spacing w:before="0"/>
    </w:pPr>
  </w:style>
  <w:style w:type="character" w:customStyle="1" w:styleId="HeaderChar">
    <w:name w:val="Header Char"/>
    <w:basedOn w:val="DefaultParagraphFont"/>
    <w:link w:val="Header"/>
    <w:uiPriority w:val="99"/>
    <w:rsid w:val="00EE0643"/>
    <w:rPr>
      <w:rFonts w:ascii="Calibri" w:eastAsia="Calibri" w:hAnsi="Calibri" w:cs="Times New Roman"/>
    </w:rPr>
  </w:style>
  <w:style w:type="paragraph" w:styleId="Footer">
    <w:name w:val="footer"/>
    <w:basedOn w:val="Normal"/>
    <w:link w:val="FooterChar"/>
    <w:uiPriority w:val="99"/>
    <w:unhideWhenUsed/>
    <w:rsid w:val="00EE0643"/>
    <w:pPr>
      <w:tabs>
        <w:tab w:val="center" w:pos="4513"/>
        <w:tab w:val="right" w:pos="9026"/>
      </w:tabs>
      <w:spacing w:before="0"/>
    </w:pPr>
  </w:style>
  <w:style w:type="character" w:customStyle="1" w:styleId="FooterChar">
    <w:name w:val="Footer Char"/>
    <w:basedOn w:val="DefaultParagraphFont"/>
    <w:link w:val="Footer"/>
    <w:uiPriority w:val="99"/>
    <w:rsid w:val="00EE0643"/>
    <w:rPr>
      <w:rFonts w:ascii="Calibri" w:eastAsia="Calibri" w:hAnsi="Calibri" w:cs="Times New Roman"/>
    </w:rPr>
  </w:style>
  <w:style w:type="paragraph" w:customStyle="1" w:styleId="HbkHeading2">
    <w:name w:val="Hbk Heading 2"/>
    <w:basedOn w:val="Normal"/>
    <w:rsid w:val="00CC55DB"/>
    <w:pPr>
      <w:numPr>
        <w:numId w:val="7"/>
      </w:numPr>
      <w:spacing w:before="0"/>
      <w:jc w:val="both"/>
    </w:pPr>
    <w:rPr>
      <w:rFonts w:ascii="Arial" w:eastAsia="Times New Roman" w:hAnsi="Arial"/>
      <w:b/>
      <w:bCs/>
      <w:sz w:val="24"/>
      <w:szCs w:val="24"/>
      <w:u w:val="single"/>
    </w:rPr>
  </w:style>
  <w:style w:type="paragraph" w:customStyle="1" w:styleId="HbkHeading3">
    <w:name w:val="Hbk Heading 3"/>
    <w:basedOn w:val="Normal"/>
    <w:rsid w:val="00CC55DB"/>
    <w:pPr>
      <w:numPr>
        <w:ilvl w:val="1"/>
        <w:numId w:val="7"/>
      </w:numPr>
      <w:spacing w:before="0"/>
      <w:jc w:val="both"/>
    </w:pPr>
    <w:rPr>
      <w:rFonts w:ascii="Arial" w:eastAsia="Times New Roman" w:hAnsi="Arial"/>
      <w:sz w:val="24"/>
      <w:szCs w:val="24"/>
    </w:rPr>
  </w:style>
  <w:style w:type="paragraph" w:customStyle="1" w:styleId="HbkHeading4">
    <w:name w:val="Hbk Heading 4"/>
    <w:basedOn w:val="Normal"/>
    <w:rsid w:val="00CC55DB"/>
    <w:pPr>
      <w:numPr>
        <w:ilvl w:val="2"/>
        <w:numId w:val="7"/>
      </w:numPr>
      <w:spacing w:before="0"/>
      <w:jc w:val="both"/>
    </w:pPr>
    <w:rPr>
      <w:rFonts w:ascii="Arial" w:eastAsia="Times New Roman" w:hAnsi="Arial"/>
      <w:sz w:val="24"/>
      <w:szCs w:val="24"/>
    </w:rPr>
  </w:style>
  <w:style w:type="character" w:styleId="CommentReference">
    <w:name w:val="annotation reference"/>
    <w:basedOn w:val="DefaultParagraphFont"/>
    <w:uiPriority w:val="99"/>
    <w:semiHidden/>
    <w:unhideWhenUsed/>
    <w:rsid w:val="00A66E2B"/>
    <w:rPr>
      <w:sz w:val="16"/>
      <w:szCs w:val="16"/>
    </w:rPr>
  </w:style>
  <w:style w:type="paragraph" w:styleId="CommentText">
    <w:name w:val="annotation text"/>
    <w:basedOn w:val="Normal"/>
    <w:link w:val="CommentTextChar"/>
    <w:uiPriority w:val="99"/>
    <w:unhideWhenUsed/>
    <w:rsid w:val="00A66E2B"/>
    <w:rPr>
      <w:sz w:val="20"/>
      <w:szCs w:val="20"/>
    </w:rPr>
  </w:style>
  <w:style w:type="character" w:customStyle="1" w:styleId="CommentTextChar">
    <w:name w:val="Comment Text Char"/>
    <w:basedOn w:val="DefaultParagraphFont"/>
    <w:link w:val="CommentText"/>
    <w:uiPriority w:val="99"/>
    <w:rsid w:val="00A66E2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66E2B"/>
    <w:rPr>
      <w:b/>
      <w:bCs/>
    </w:rPr>
  </w:style>
  <w:style w:type="character" w:customStyle="1" w:styleId="CommentSubjectChar">
    <w:name w:val="Comment Subject Char"/>
    <w:basedOn w:val="CommentTextChar"/>
    <w:link w:val="CommentSubject"/>
    <w:uiPriority w:val="99"/>
    <w:semiHidden/>
    <w:rsid w:val="00A66E2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063F2B5B-BB29-4734-A244-66ED040B3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6D5BFC-53D1-4276-8CB6-0E9C7E66039C}">
  <ds:schemaRefs>
    <ds:schemaRef ds:uri="http://schemas.microsoft.com/sharepoint/v3/contenttype/forms"/>
  </ds:schemaRefs>
</ds:datastoreItem>
</file>

<file path=customXml/itemProps3.xml><?xml version="1.0" encoding="utf-8"?>
<ds:datastoreItem xmlns:ds="http://schemas.openxmlformats.org/officeDocument/2006/customXml" ds:itemID="{22375CA3-EB23-46F2-95A8-FAEC6444C4C9}">
  <ds:schemaRefs>
    <ds:schemaRef ds:uri="926f550a-dd3c-46da-911d-b48dd5009da6"/>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terms/"/>
    <ds:schemaRef ds:uri="3512532b-0154-4a35-abd3-e4aecfdbc09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King</dc:creator>
  <cp:keywords/>
  <dc:description/>
  <cp:lastModifiedBy>Simone Smith</cp:lastModifiedBy>
  <cp:revision>3</cp:revision>
  <cp:lastPrinted>2022-03-28T12:07:00Z</cp:lastPrinted>
  <dcterms:created xsi:type="dcterms:W3CDTF">2023-06-05T11:51:00Z</dcterms:created>
  <dcterms:modified xsi:type="dcterms:W3CDTF">2023-06-05T11:54:00Z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